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64770</wp:posOffset>
            </wp:positionV>
            <wp:extent cx="2245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78105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13" w:lineRule="exact"/>
        <w:rPr>
          <w:rFonts w:ascii="MS PGothic" w:cs="MS PGothic" w:eastAsia="MS PGothic" w:hAnsi="MS PGothic"/>
          <w:sz w:val="14"/>
          <w:szCs w:val="14"/>
          <w:color w:val="auto"/>
          <w:highlight w:val="black"/>
        </w:rPr>
      </w:pPr>
    </w:p>
    <w:p>
      <w:pPr>
        <w:ind w:left="5520"/>
        <w:spacing w:after="0" w:line="233" w:lineRule="auto"/>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 w:lineRule="exact"/>
        <w:rPr>
          <w:rFonts w:ascii="MS PGothic" w:cs="MS PGothic" w:eastAsia="MS PGothic" w:hAnsi="MS PGothic"/>
          <w:sz w:val="14"/>
          <w:szCs w:val="14"/>
          <w:color w:val="auto"/>
          <w:highlight w:val="black"/>
        </w:rPr>
      </w:pPr>
    </w:p>
    <w:p>
      <w:pPr>
        <w:ind w:left="47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Commission file number: 0-49983</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425"/>
        </w:trPr>
        <w:tc>
          <w:tcPr>
            <w:tcW w:w="38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gridSpan w:val="3"/>
          </w:tcPr>
          <w:p>
            <w:pPr>
              <w:jc w:val="center"/>
              <w:ind w:right="540"/>
              <w:spacing w:after="0" w:line="425" w:lineRule="exact"/>
              <w:rPr>
                <w:sz w:val="20"/>
                <w:szCs w:val="20"/>
                <w:color w:val="auto"/>
              </w:rPr>
            </w:pPr>
            <w:r>
              <w:rPr>
                <w:rFonts w:ascii="Times New Roman" w:cs="Times New Roman" w:eastAsia="Times New Roman" w:hAnsi="Times New Roman"/>
                <w:sz w:val="38"/>
                <w:szCs w:val="38"/>
                <w:b w:val="1"/>
                <w:bCs w:val="1"/>
                <w:color w:val="auto"/>
                <w:w w:val="99"/>
              </w:rPr>
              <w:t>Saia, Inc.</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8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20" w:type="dxa"/>
            <w:vAlign w:val="bottom"/>
            <w:gridSpan w:val="2"/>
          </w:tcPr>
          <w:p>
            <w:pPr>
              <w:jc w:val="center"/>
              <w:ind w:left="145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40" w:type="dxa"/>
            <w:vAlign w:val="bottom"/>
          </w:tcPr>
          <w:p>
            <w:pPr>
              <w:jc w:val="right"/>
              <w:ind w:right="2335"/>
              <w:spacing w:after="0"/>
              <w:rPr>
                <w:sz w:val="20"/>
                <w:szCs w:val="20"/>
                <w:color w:val="auto"/>
              </w:rPr>
            </w:pPr>
            <w:r>
              <w:rPr>
                <w:rFonts w:ascii="Times New Roman" w:cs="Times New Roman" w:eastAsia="Times New Roman" w:hAnsi="Times New Roman"/>
                <w:sz w:val="14"/>
                <w:szCs w:val="14"/>
                <w:b w:val="1"/>
                <w:bCs w:val="1"/>
                <w:color w:val="auto"/>
              </w:rPr>
              <w:t>48-1229851</w:t>
            </w:r>
          </w:p>
        </w:tc>
        <w:tc>
          <w:tcPr>
            <w:tcW w:w="0" w:type="dxa"/>
            <w:vAlign w:val="bottom"/>
          </w:tcPr>
          <w:p>
            <w:pPr>
              <w:spacing w:after="0"/>
              <w:rPr>
                <w:sz w:val="1"/>
                <w:szCs w:val="1"/>
                <w:color w:val="auto"/>
              </w:rPr>
            </w:pPr>
          </w:p>
        </w:tc>
      </w:tr>
      <w:tr>
        <w:trPr>
          <w:trHeight w:val="135"/>
        </w:trPr>
        <w:tc>
          <w:tcPr>
            <w:tcW w:w="4020" w:type="dxa"/>
            <w:vAlign w:val="bottom"/>
            <w:gridSpan w:val="2"/>
          </w:tcPr>
          <w:p>
            <w:pPr>
              <w:jc w:val="center"/>
              <w:ind w:left="1434"/>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(State of Incorporation)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40" w:type="dxa"/>
            <w:vAlign w:val="bottom"/>
          </w:tcPr>
          <w:p>
            <w:pPr>
              <w:jc w:val="center"/>
              <w:ind w:right="1595"/>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40" w:type="dxa"/>
            <w:vAlign w:val="bottom"/>
          </w:tcPr>
          <w:p>
            <w:pPr>
              <w:jc w:val="center"/>
              <w:ind w:right="1595"/>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80"/>
        </w:trPr>
        <w:tc>
          <w:tcPr>
            <w:tcW w:w="4020" w:type="dxa"/>
            <w:vAlign w:val="bottom"/>
            <w:gridSpan w:val="2"/>
          </w:tcPr>
          <w:p>
            <w:pPr>
              <w:jc w:val="center"/>
              <w:ind w:left="1434"/>
              <w:spacing w:after="0"/>
              <w:rPr>
                <w:sz w:val="20"/>
                <w:szCs w:val="20"/>
                <w:color w:val="auto"/>
              </w:rPr>
            </w:pPr>
            <w:r>
              <w:rPr>
                <w:rFonts w:ascii="Times New Roman" w:cs="Times New Roman" w:eastAsia="Times New Roman" w:hAnsi="Times New Roman"/>
                <w:sz w:val="14"/>
                <w:szCs w:val="14"/>
                <w:b w:val="1"/>
                <w:bCs w:val="1"/>
                <w:color w:val="auto"/>
              </w:rPr>
              <w:t>11465 Johns Creek Parkway, Suite 400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40" w:type="dxa"/>
            <w:vAlign w:val="bottom"/>
            <w:vMerge w:val="restart"/>
          </w:tcPr>
          <w:p>
            <w:pPr>
              <w:jc w:val="right"/>
              <w:ind w:right="2495"/>
              <w:spacing w:after="0"/>
              <w:rPr>
                <w:sz w:val="20"/>
                <w:szCs w:val="20"/>
                <w:color w:val="auto"/>
              </w:rPr>
            </w:pPr>
            <w:r>
              <w:rPr>
                <w:rFonts w:ascii="Times New Roman" w:cs="Times New Roman" w:eastAsia="Times New Roman" w:hAnsi="Times New Roman"/>
                <w:sz w:val="14"/>
                <w:szCs w:val="14"/>
                <w:b w:val="1"/>
                <w:bCs w:val="1"/>
                <w:color w:val="auto"/>
              </w:rPr>
              <w:t>30097</w:t>
            </w:r>
          </w:p>
        </w:tc>
        <w:tc>
          <w:tcPr>
            <w:tcW w:w="0" w:type="dxa"/>
            <w:vAlign w:val="bottom"/>
          </w:tcPr>
          <w:p>
            <w:pPr>
              <w:spacing w:after="0"/>
              <w:rPr>
                <w:sz w:val="1"/>
                <w:szCs w:val="1"/>
                <w:color w:val="auto"/>
              </w:rPr>
            </w:pPr>
          </w:p>
        </w:tc>
      </w:tr>
      <w:tr>
        <w:trPr>
          <w:trHeight w:val="153"/>
        </w:trPr>
        <w:tc>
          <w:tcPr>
            <w:tcW w:w="4020" w:type="dxa"/>
            <w:vAlign w:val="bottom"/>
            <w:gridSpan w:val="2"/>
          </w:tcPr>
          <w:p>
            <w:pPr>
              <w:jc w:val="center"/>
              <w:ind w:left="1454"/>
              <w:spacing w:after="0" w:line="153" w:lineRule="exact"/>
              <w:rPr>
                <w:sz w:val="20"/>
                <w:szCs w:val="20"/>
                <w:color w:val="auto"/>
              </w:rPr>
            </w:pPr>
            <w:r>
              <w:rPr>
                <w:rFonts w:ascii="Times New Roman" w:cs="Times New Roman" w:eastAsia="Times New Roman" w:hAnsi="Times New Roman"/>
                <w:sz w:val="14"/>
                <w:szCs w:val="14"/>
                <w:b w:val="1"/>
                <w:bCs w:val="1"/>
                <w:color w:val="auto"/>
              </w:rPr>
              <w:t>Johns Creek, Georgia</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20" w:type="dxa"/>
            <w:vAlign w:val="bottom"/>
            <w:gridSpan w:val="2"/>
          </w:tcPr>
          <w:p>
            <w:pPr>
              <w:jc w:val="center"/>
              <w:ind w:left="143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40" w:type="dxa"/>
            <w:vAlign w:val="bottom"/>
          </w:tcPr>
          <w:p>
            <w:pPr>
              <w:jc w:val="center"/>
              <w:ind w:right="1595"/>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center"/>
              <w:ind w:left="1055"/>
              <w:spacing w:after="0"/>
              <w:rPr>
                <w:sz w:val="20"/>
                <w:szCs w:val="20"/>
                <w:color w:val="auto"/>
              </w:rPr>
            </w:pPr>
            <w:r>
              <w:rPr>
                <w:rFonts w:ascii="Times New Roman" w:cs="Times New Roman" w:eastAsia="Times New Roman" w:hAnsi="Times New Roman"/>
                <w:sz w:val="14"/>
                <w:szCs w:val="14"/>
                <w:b w:val="1"/>
                <w:bCs w:val="1"/>
                <w:color w:val="auto"/>
              </w:rPr>
              <w:t>(770) 232-5067</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3"/>
          </w:tcPr>
          <w:p>
            <w:pPr>
              <w:jc w:val="center"/>
              <w:ind w:right="132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jc w:val="center"/>
              <w:ind w:right="1155"/>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auto"/>
            </w:tcBorders>
            <w:gridSpan w:val="2"/>
          </w:tcPr>
          <w:p>
            <w:pPr>
              <w:jc w:val="center"/>
              <w:ind w:left="194"/>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SAIA</w:t>
            </w:r>
          </w:p>
        </w:tc>
        <w:tc>
          <w:tcPr>
            <w:tcW w:w="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center"/>
              <w:ind w:right="1135"/>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1"/>
                <w:szCs w:val="11"/>
                <w:color w:val="auto"/>
              </w:rPr>
            </w:pPr>
          </w:p>
        </w:tc>
        <w:tc>
          <w:tcPr>
            <w:tcW w:w="3540" w:type="dxa"/>
            <w:vAlign w:val="bottom"/>
            <w:tcBorders>
              <w:bottom w:val="single" w:sz="8" w:color="auto"/>
            </w:tcBorders>
            <w:gridSpan w:val="6"/>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7400" w:type="dxa"/>
            <w:vAlign w:val="bottom"/>
            <w:gridSpan w:val="7"/>
          </w:tcPr>
          <w:p>
            <w:pPr>
              <w:ind w:left="520"/>
              <w:spacing w:after="0" w:line="150" w:lineRule="exact"/>
              <w:rPr>
                <w:sz w:val="20"/>
                <w:szCs w:val="20"/>
                <w:color w:val="auto"/>
              </w:rPr>
            </w:pPr>
            <w:r>
              <w:rPr>
                <w:rFonts w:ascii="Times New Roman" w:cs="Times New Roman" w:eastAsia="Times New Roman" w:hAnsi="Times New Roman"/>
                <w:sz w:val="13"/>
                <w:szCs w:val="13"/>
                <w:color w:val="auto"/>
                <w:w w:val="99"/>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No </w:t>
            </w:r>
            <w:r>
              <w:rPr>
                <w:rFonts w:ascii="MS PGothic" w:cs="MS PGothic" w:eastAsia="MS PGothic" w:hAnsi="MS PGothic"/>
                <w:sz w:val="13"/>
                <w:szCs w:val="13"/>
                <w:color w:val="auto"/>
                <w:w w:val="99"/>
              </w:rPr>
              <w:t>☐</w:t>
            </w:r>
          </w:p>
        </w:tc>
        <w:tc>
          <w:tcPr>
            <w:tcW w:w="3840" w:type="dxa"/>
            <w:vAlign w:val="bottom"/>
            <w:vMerge w:val="restart"/>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3"/>
        </w:trPr>
        <w:tc>
          <w:tcPr>
            <w:tcW w:w="7400" w:type="dxa"/>
            <w:vAlign w:val="bottom"/>
            <w:gridSpan w:val="7"/>
          </w:tcPr>
          <w:p>
            <w:pPr>
              <w:ind w:left="520"/>
              <w:spacing w:after="0"/>
              <w:rPr>
                <w:sz w:val="20"/>
                <w:szCs w:val="20"/>
                <w:color w:val="auto"/>
              </w:rPr>
            </w:pPr>
            <w:r>
              <w:rPr>
                <w:rFonts w:ascii="Times New Roman" w:cs="Times New Roman" w:eastAsia="Times New Roman" w:hAnsi="Times New Roman"/>
                <w:sz w:val="13"/>
                <w:szCs w:val="13"/>
                <w:color w:val="auto"/>
                <w:w w:val="97"/>
              </w:rPr>
              <w:t>Indicate by check mark if the registrant is not required to file reports pursuant to Section 13 or Section 15(d) of the Exchange Act.  Yes</w:t>
            </w: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80"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420"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80" w:firstLine="509"/>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p>
      <w:pPr>
        <w:spacing w:after="0" w:line="150" w:lineRule="exact"/>
        <w:tabs>
          <w:tab w:leader="none" w:pos="1860" w:val="left"/>
          <w:tab w:leader="none" w:pos="2160" w:val="left"/>
          <w:tab w:leader="none" w:pos="3600" w:val="left"/>
          <w:tab w:leader="none" w:pos="4360" w:val="left"/>
          <w:tab w:leader="none" w:pos="5760" w:val="left"/>
          <w:tab w:leader="none" w:pos="6200" w:val="left"/>
          <w:tab w:leader="none" w:pos="8380" w:val="left"/>
          <w:tab w:leader="none" w:pos="8800" w:val="left"/>
          <w:tab w:leader="none" w:pos="1094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68" w:lineRule="exact"/>
        <w:rPr>
          <w:sz w:val="24"/>
          <w:szCs w:val="24"/>
          <w:color w:val="auto"/>
        </w:rPr>
      </w:pPr>
    </w:p>
    <w:p>
      <w:pPr>
        <w:ind w:right="400"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right="240"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80"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ind w:right="160"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520"/>
        <w:spacing w:after="0" w:line="150" w:lineRule="exact"/>
        <w:tabs>
          <w:tab w:leader="none" w:pos="6340" w:val="left"/>
          <w:tab w:leader="none" w:pos="68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ind w:right="60" w:firstLine="509"/>
        <w:spacing w:after="0"/>
        <w:rPr>
          <w:sz w:val="20"/>
          <w:szCs w:val="20"/>
          <w:color w:val="auto"/>
        </w:rPr>
      </w:pPr>
      <w:r>
        <w:rPr>
          <w:rFonts w:ascii="Times New Roman" w:cs="Times New Roman" w:eastAsia="Times New Roman" w:hAnsi="Times New Roman"/>
          <w:sz w:val="13"/>
          <w:szCs w:val="13"/>
          <w:color w:val="auto"/>
        </w:rPr>
        <w:t>As of June 30, 2025, the aggregate market value of the registrant’s common stock held by non-affiliates of the registrant was $7,298,010,244 based on the last reported sales price of the common stock as reported on the National Association of Securities Dealers Automated Quotation System National Market System.</w:t>
      </w:r>
    </w:p>
    <w:p>
      <w:pPr>
        <w:spacing w:after="0" w:line="2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The number of shares of Common Stock outstanding as of February 18, 2026 was 26,669,522.</w:t>
      </w:r>
    </w:p>
    <w:p>
      <w:pPr>
        <w:spacing w:after="0" w:line="3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2" w:lineRule="exact"/>
        <w:rPr>
          <w:sz w:val="24"/>
          <w:szCs w:val="24"/>
          <w:color w:val="auto"/>
        </w:rPr>
      </w:pPr>
    </w:p>
    <w:p>
      <w:pPr>
        <w:ind w:right="100" w:firstLine="509"/>
        <w:spacing w:after="0"/>
        <w:rPr>
          <w:sz w:val="20"/>
          <w:szCs w:val="20"/>
          <w:color w:val="auto"/>
        </w:rPr>
      </w:pPr>
      <w:r>
        <w:rPr>
          <w:rFonts w:ascii="Times New Roman" w:cs="Times New Roman" w:eastAsia="Times New Roman" w:hAnsi="Times New Roman"/>
          <w:sz w:val="13"/>
          <w:szCs w:val="13"/>
          <w:color w:val="auto"/>
        </w:rPr>
        <w:t>Portions of the definitive Proxy Statement to be filed within 120 days of December 31, 2025, pursuant to Regulation 14A under the Securities Exchange Act of 1934 for the Annual Meeting of Stockholders to be held April 29, 2026, have been incorporated by reference into Part III of this Form 10-K.</w:t>
      </w:r>
    </w:p>
    <w:p>
      <w:pPr>
        <w:spacing w:after="0" w:line="106" w:lineRule="exact"/>
        <w:rPr>
          <w:sz w:val="24"/>
          <w:szCs w:val="24"/>
          <w:color w:val="auto"/>
        </w:rPr>
      </w:pPr>
    </w:p>
    <w:p>
      <w:pPr>
        <w:ind w:left="220"/>
        <w:spacing w:after="0"/>
        <w:tabs>
          <w:tab w:leader="none" w:pos="1120" w:val="left"/>
          <w:tab w:leader="none" w:pos="2000" w:val="left"/>
          <w:tab w:leader="none" w:pos="3060" w:val="left"/>
          <w:tab w:leader="none" w:pos="4780" w:val="left"/>
          <w:tab w:leader="none" w:pos="5780" w:val="left"/>
        </w:tabs>
        <w:rPr>
          <w:sz w:val="20"/>
          <w:szCs w:val="20"/>
          <w:color w:val="auto"/>
        </w:rPr>
      </w:pPr>
      <w:r>
        <w:rPr>
          <w:rFonts w:ascii="Times New Roman" w:cs="Times New Roman" w:eastAsia="Times New Roman" w:hAnsi="Times New Roman"/>
          <w:sz w:val="13"/>
          <w:szCs w:val="13"/>
          <w:color w:val="auto"/>
        </w:rPr>
        <w:t>Auditor Name:</w:t>
        <w:tab/>
        <w:t>KPMG LLP</w:t>
      </w:r>
      <w:r>
        <w:rPr>
          <w:sz w:val="20"/>
          <w:szCs w:val="20"/>
          <w:color w:val="auto"/>
        </w:rPr>
        <w:tab/>
      </w:r>
      <w:r>
        <w:rPr>
          <w:rFonts w:ascii="Times New Roman" w:cs="Times New Roman" w:eastAsia="Times New Roman" w:hAnsi="Times New Roman"/>
          <w:sz w:val="13"/>
          <w:szCs w:val="13"/>
          <w:color w:val="auto"/>
        </w:rPr>
        <w:t>Auditor Location:</w:t>
        <w:tab/>
        <w:t>Atlanta, Georgia, United States</w:t>
        <w:tab/>
        <w:t>Auditor Firm ID:</w:t>
      </w:r>
      <w:r>
        <w:rPr>
          <w:sz w:val="20"/>
          <w:szCs w:val="20"/>
          <w:color w:val="auto"/>
        </w:rPr>
        <w:tab/>
      </w:r>
      <w:r>
        <w:rPr>
          <w:rFonts w:ascii="Times New Roman" w:cs="Times New Roman" w:eastAsia="Times New Roman" w:hAnsi="Times New Roman"/>
          <w:sz w:val="12"/>
          <w:szCs w:val="12"/>
          <w:color w:val="auto"/>
        </w:rPr>
        <w:t>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40" w:type="dxa"/>
            <w:vAlign w:val="bottom"/>
            <w:gridSpan w:val="10"/>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SAIA, INC. AND SUBSIDIARIES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340" w:type="dxa"/>
            <w:vAlign w:val="bottom"/>
            <w:gridSpan w:val="8"/>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760" w:type="dxa"/>
            <w:vAlign w:val="bottom"/>
            <w:gridSpan w:val="26"/>
            <w:vMerge w:val="restart"/>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680" w:type="dxa"/>
            <w:vAlign w:val="bottom"/>
            <w:tcBorders>
              <w:bottom w:val="single" w:sz="8" w:color="0000FF"/>
            </w:tcBorders>
            <w:gridSpan w:val="2"/>
            <w:vMerge w:val="continue"/>
          </w:tcPr>
          <w:p>
            <w:pPr>
              <w:spacing w:after="0"/>
              <w:rPr>
                <w:sz w:val="14"/>
                <w:szCs w:val="14"/>
                <w:color w:val="auto"/>
              </w:rPr>
            </w:pPr>
          </w:p>
        </w:tc>
        <w:tc>
          <w:tcPr>
            <w:tcW w:w="8760" w:type="dxa"/>
            <w:vAlign w:val="bottom"/>
            <w:gridSpan w:val="26"/>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Additional Information</w:t>
            </w:r>
          </w:p>
        </w:tc>
        <w:tc>
          <w:tcPr>
            <w:tcW w:w="20" w:type="dxa"/>
            <w:vAlign w:val="bottom"/>
            <w:tcBorders>
              <w:bottom w:val="single" w:sz="8" w:color="0000EE"/>
            </w:tcBorders>
          </w:tcPr>
          <w:p>
            <w:pPr>
              <w:spacing w:after="0"/>
              <w:rPr>
                <w:sz w:val="17"/>
                <w:szCs w:val="17"/>
                <w:color w:val="auto"/>
              </w:rPr>
            </w:pPr>
          </w:p>
        </w:tc>
        <w:tc>
          <w:tcPr>
            <w:tcW w:w="774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6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Officers of the Registrant</w:t>
            </w:r>
          </w:p>
        </w:tc>
        <w:tc>
          <w:tcPr>
            <w:tcW w:w="684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38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420" w:type="dxa"/>
            <w:vAlign w:val="bottom"/>
            <w:gridSpan w:val="2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40" w:type="dxa"/>
            <w:vAlign w:val="bottom"/>
            <w:tcBorders>
              <w:bottom w:val="single" w:sz="8" w:color="0000EE"/>
            </w:tcBorders>
          </w:tcPr>
          <w:p>
            <w:pPr>
              <w:spacing w:after="0"/>
              <w:rPr>
                <w:sz w:val="17"/>
                <w:szCs w:val="17"/>
                <w:color w:val="auto"/>
              </w:rPr>
            </w:pPr>
          </w:p>
        </w:tc>
        <w:tc>
          <w:tcPr>
            <w:tcW w:w="8660" w:type="dxa"/>
            <w:vAlign w:val="bottom"/>
            <w:gridSpan w:val="2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808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66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3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29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96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66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810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54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EE"/>
            </w:tcBorders>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34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4"/>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14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98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28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658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8"/>
          </w:tcPr>
          <w:p>
            <w:pPr>
              <w:spacing w:after="0"/>
              <w:rPr>
                <w:sz w:val="17"/>
                <w:szCs w:val="17"/>
                <w:color w:val="auto"/>
              </w:rPr>
            </w:pPr>
          </w:p>
        </w:tc>
        <w:tc>
          <w:tcPr>
            <w:tcW w:w="654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885"/>
        </w:trPr>
        <w:tc>
          <w:tcPr>
            <w:tcW w:w="1140" w:type="dxa"/>
            <w:vAlign w:val="bottom"/>
          </w:tcPr>
          <w:p>
            <w:pPr>
              <w:spacing w:after="0"/>
              <w:rPr>
                <w:sz w:val="24"/>
                <w:szCs w:val="24"/>
                <w:color w:val="auto"/>
              </w:rPr>
            </w:pPr>
          </w:p>
        </w:tc>
        <w:tc>
          <w:tcPr>
            <w:tcW w:w="780" w:type="dxa"/>
            <w:vAlign w:val="bottom"/>
            <w:tcBorders>
              <w:top w:val="single" w:sz="8" w:color="0000FF"/>
            </w:tcBorders>
            <w:gridSpan w:val="4"/>
          </w:tcPr>
          <w:p>
            <w:pPr>
              <w:spacing w:after="0"/>
              <w:rPr>
                <w:sz w:val="24"/>
                <w:szCs w:val="24"/>
                <w:color w:val="auto"/>
              </w:rPr>
            </w:pPr>
          </w:p>
        </w:tc>
        <w:tc>
          <w:tcPr>
            <w:tcW w:w="4120" w:type="dxa"/>
            <w:vAlign w:val="bottom"/>
            <w:gridSpan w:val="18"/>
          </w:tcPr>
          <w:p>
            <w:pPr>
              <w:jc w:val="center"/>
              <w:ind w:left="319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Saia, Inc., through its wholly-owned subsidiaries, is a transportation company headquartered in Johns Creek, Georgia (Saia, Inc. together with its subsidiaries, the Company or Saia). We provide national less-than-truckload (LTL) services through a single integrated organization. While approximately 97% of our revenue is derived from transporting LTL shipments, we also offer customers a wide range of other value-added services, including brokered truckload and expedited transportation and other logistics services across North America.</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Founded in 1924, Saia Motor Freight Line, LLC (Saia LTL Freight), a wholly-owned subsidiary of Saia, Inc., is a leading LTL carrier that provides direct service to the 48 contiguous states and provides LTL services to Canada and Mexico through relationships with third-party interline carriers. Saia LTL Freight specializes in offering its customers a range of LTL services including time-definite and expedited options. Saia LTL Freight primarily provides its customers with solutions for shipments between 100 and 10,000 pounds.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Saia operated a network comprised of 213 owned and leased terminals, plus three general offices and one warehouse. At December 31, 2025, Saia LTL Freight owned approximately 7,700 tractors and 26,500 trailers, including equipment acquired with finance leases.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Over the past five years, Saia has invested in excess of $2.5 billion in capital expenditures, primarily for real estate, revenue equipment and technology. These real estate investments have been made to support Saia’s long-term strategy of expanding our footprint in both new and existing markets in order to be closer to our customers and position us to gain market share. Investments in equipment and technology have supported this growth while maintaining and modernizing our fleet, resulting in improved fuel efficiency, enhanced safety features and reduced carbon emissions. In addition, we have invested in technology to strengthen our network and operations, including network optimization, advanced data analytics for operational and profitability insights, customer service enhancements, training and streamlined business processes.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2025, Saia generated revenue of $3.2 billion and operating income of $352.2 million compared to revenue of $3.2 billion and operating income of $482.2 million in 2024. In 2025, the average Saia LTL Freight shipment weighed approximately 1,380 pounds and traveled an average distance of approximately 897 miles. In 2024, the average Saia LTL Freight shipment weighed approximately 1,343 pounds and traveled an average distance of approximately 891 miles.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trucking industry consists of three categories: private fleets and two categories of “for-hire” carriers. The private fleets are owned and operated by shippers that use their own equipment to transport their products. The two “for-hire” carrier categories - truckload and LTL - are generally distinguished by shipment sizes handled by the transportation service companies. Truckload carriers typically handle shipments greater than 10,000 pounds, while LTL carriers generally transport shipments under that threshold. Saia operates primarily as an LTL carrier. In addition to the three main trucking categories, Saia also competes with small package carriers, final mile delivery services, railroads, air freight carriers, third party logistics providers and other emerging digital competitors.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LTL carriers typically pick up numerous shipments, generally ranging from 100 to 10,000 pounds, consolidate them at local carrier-operated freight terminals and then transport the shipments from the terminal to the carrier-operated destination terminal for delivery to the ultimate destination. As a result, LTL carriers require expansive networks of pick-up and delivery operations around local freight terminals and linehaul operations to transport freight between the local terminals.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truckload category is the largest portion of the “for-hire” carrier market. Truckload carriers primarily transport large shipments from origin to destination with no intermediate handling.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truckload carriers do not require an expansive network to provide point-to-point service, the overall cost structure of truckload carriers is typically lower and more variable relative to LTL carriers. However, the lack of a network can subject their drivers to extended periods away from home, often resulting in higher driver turnover and periodic driver shortages. The truckload category is comprised of several major carriers and numerous small entrepreneurial players. At the most basic level, a truckload carrier can be started with capital for rolling stock (a tractor and a trailer), insurance, a driver and little else. As truckload carriers become larger in scale, capital is needed for technology, infrastructure and some limited facilities. Saia may participate in the truckload market as a means to fill empty miles in lanes that are not at capacity. Saia also offers its customers the truckload and expedited offerings of its logistics operations.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Capital requirements are significantly higher in the traditional LTL category versus the truckload category. In the LTL sector, substantial amounts of capital are required for a network of freight terminals, shipment handling equipment and revenue equipment (both for city pick-up, delivery and linehaul). In addition, investment in technology has become increasingly important in the LTL category largely due to the number of transactions and number of customers served on a daily basis. Saia LTL Freight picks up approximately 35,000 shipments per day, each of which has a shipper, a consignee and sometimes a third-party payor, all of whom need access to information in a timely manner. In addition to customer service, technology plays a key role in improving operational efficiency and compliance, as well as safety and revenue management. As a result of the significant infrastructure required to operate an LTL carrier, the LTL category is more concentrated than the truckload category with the largest LTL players operating nationally or in regional markets. Driver turnover in the LTL sector is significantly lower relative to the truckload sector, although LTL carriers also face periodic driver shortages.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Saia has grown historically through a combination of organic growth and geographic integration or “tuck-in” acquisitions of smaller trucking and logistics companies. In recent years, Saia has largely grown through organic growth, which it intends to continue going forward.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business strategy include: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Operate safely.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most valuable resource is our employees. It is a corporate priority to continuously emphasize the importance of safe operations to reduce both the frequency and severity of injuries and accidents. As part of our ongoing replacement and expansion of our tractor fleet, we have incorporated accident avoidance technologies in our new over-the-road tractors. These features include active braking assistance, adaptive cruise control, lane departure warning systems and roll stability control. This emphasis on safe operations is important to protecting our employees and the communities in which we operate. A safety first focus has the added benefit of helping to control inflationary insurance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focused on maintaining strong relationships with our employees. We invest in our employees through training and professional development programs, safety training, wellness programs, internal employee communications and employee recognition programs, along with providing competitive wages and employee benefit programs. For further information on employee engagement efforts, see Human Capital Management section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 pricing and business mix.</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element of our business strategy focuses on optimizing both the pricing of our services and the mix of freight we handle to enhance the overall profitability of our network. In recent years, our expanded geographic footprint and strengthened service offerings have enabled us to deliver differentiated solutions to customers, contributing to increases in revenue per shipment, excluding fuel surcharges.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density in existing geographies.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gain operating leverage by growing volume and density within our existing geography. Depending on general economic conditions, pricing and the specific geography, we estimate that the potential incremental profitability on growth in current markets can be significant. We continuously evaluate opportunities to expand our terminal network in new and existing markets that demonstrate sufficient long-term demand. Future volume growth at Saia may result from improvements in broader economic conditions, industry consolidation, continued geographic expansion, strategic acquisitions, and targeted sales and marketing initiatives designed to enhance customer engagement and support sustained growth.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 best-in-class service.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foundation of our growth strategy is the consistent delivery of high quality service, demonstrated through reliable on-time delivery and reduced claims for lost or damaged freight. Our customers place significant value on service quality, which supports our ability to obtain appropriate compensation for the services we provide and enhances our positioning to capture additional market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Improve operating efficiencies.</w:t>
      </w:r>
    </w:p>
    <w:p>
      <w:pPr>
        <w:spacing w:after="0" w:line="121"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We have operating initiatives focused on continuing to improve efficiency, including optimizing our linehaul and pick-up and delivery operations. These initiatives help offset a variety of structural cost increases like wages, healthcare benefits, casualty claims and related insurance, workers’ compensation claims and parts and maintenance expense. Enhancing the efficiency of our linehaul and pick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delivery operations supports more effective utilization of our employees, equipment and resources. These efforts also contribute to reductions in fuel consumption and associated carbon emissions, consistent with our broader sustainability objectives and our commitment to minimizing the environmental impact of our operations. We believe we remain well positioned to manage costs effectively, optimize asset utilization and explore additional opportunities for incremental cost savings.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geographic terminal footprint.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intend to continue pursuing geographic expansion and build additional density in key markets to support profitable growth and strengthen our customer value proposition. Accordingly, we plan to continue investing in new terminals, in our tractor and trailer fleet and in advanced technologies to enable us to efficiently handle the increased volume we anticipate across both new and existing markets. In addition to organic expansion through new terminal openings, we may evaluate strategic acquisition opportunities from time to time to further extend our geographic reach, increase network density and acquire complementary customer bases.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Address environmental impact of our operations.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dedicated to building on our strong, positive culture by being a leading corporate citizen for the benefit of our customers, employees, communities and stockholders. In recent years, we have made significant investments in our tractor and trailer fleet to improve fuel efficiency, reduce emissions, and enhance safety, reliability and maintenance performance. We are also working to optimize our linehaul scheduling and pick-up and delivery operations to improve asset utilization as well as further reduce fuel consumption and related emissions. Since the formalization of our sustainability program in 2022, we have scaled the use of alternative fuels utilizing renewable diesel, compressed natural gas (CNG) vehicles running renewable natural gas (RNG) and battery electric vehicles. We operate a fleet of over 55 CNG vehicles and continue to evaluate the expanded use of alternative and renewable fuels to power our fleet. We have procedures that are designed to reduce the risk of spills of hazardous materials that we transport and to quickly and efficiently react to any environmental incidents. At our terminals, we have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implemented energy-saving procedures, and maintain programs to recycle used oil, scrap metal, paper, tires and batteries. We also incorporate sustainability-focused practices and design elements into newly constructed facilities where practicable.</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on the most recently available rankings, for 2024, Saia continued to maintain high marks in the EPA’s SmartWay Carrier Performance Rankings for LTL carriers for nitrogen oxide and particulate matter emissions per ton-mile. We have also participated in the EPA’s SmartWay Program since 2006, which assists companies with advancing supply chain sustainability by measuring, benchmarking and improving freight transportation efficiency.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seasonal variations. Customers tend to reduce shipments after the winter holiday season, and our operating expenses tend to be higher as a percent of revenue in the winter months primarily due to lower capacity utilization and weather effects. Generally, the first quarter is the weakest quarter while the second and third quarters are the strongest quarters in terms of revenue and profit. Quarterly profitability is also impacted by the timing of salary and wage increases and general rate increases, which have varied over the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We believe our success depends on the strength of our workforce. Our Executive Vice President and Chief Human Resources Officer, reporting to our President and Chief Executive Officer, is responsible for developing and executing our human capital strategy. These responsibilities include recruiting, hiring, training and retention, as well as the development of our compensation and benefits programs.</w:t>
      </w:r>
    </w:p>
    <w:p>
      <w:pPr>
        <w:spacing w:after="0" w:line="176" w:lineRule="exact"/>
        <w:rPr>
          <w:sz w:val="20"/>
          <w:szCs w:val="20"/>
          <w:color w:val="auto"/>
        </w:rPr>
      </w:pPr>
    </w:p>
    <w:p>
      <w:pPr>
        <w:jc w:val="both"/>
        <w:ind w:firstLine="666"/>
        <w:spacing w:after="0" w:line="261" w:lineRule="auto"/>
        <w:rPr>
          <w:sz w:val="20"/>
          <w:szCs w:val="20"/>
          <w:color w:val="auto"/>
        </w:rPr>
      </w:pPr>
      <w:r>
        <w:rPr>
          <w:rFonts w:ascii="Times New Roman" w:cs="Times New Roman" w:eastAsia="Times New Roman" w:hAnsi="Times New Roman"/>
          <w:sz w:val="18"/>
          <w:szCs w:val="18"/>
          <w:color w:val="auto"/>
        </w:rPr>
        <w:t>Our nearly 14,500 union-free employees are comprised of about 51% licensed commercial drivers, about 24% dock workers (approximately 22% of whom are part-time) and the remaining 25% work in sales, technology and administration to support our business. Approximately 89% of our workforce is male. Approximately 49% of our employees have self-identified as Hispanic or Latino, Native American, Pacific Islander, Asian, Black or African American, or of two or more races. Additionally, approximately 74% of our workforce is under the age of 55.</w:t>
      </w:r>
    </w:p>
    <w:p>
      <w:pPr>
        <w:spacing w:after="0" w:line="180"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As the success of our business is fundamentally connected to the well-being of our people, we offer benefits that support their physical, financial and emotional well-being. We provide our employees and their families with access to affordable and convenient medical, dental and vision programs. To foster retention, employees with ten or more years of service do not pay premiums for participation in the medical program. Additionally, we strive to help employees lead healthier lives through a voluntary wellness program aimed at engaging employees to promote proactive evaluation, tracking and management of major health and wellness indicators. To support employee participation in our benefit programs, we have continued to absorb market-driven cost increases in coverage for group health insurance. As a result, employees have experienced only minimal premium increases for these programs over the past several years.</w:t>
      </w:r>
    </w:p>
    <w:p>
      <w:pPr>
        <w:spacing w:after="0" w:line="81"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As an added benefit for employees, we offer a 401(k) savings plan with a Company match as well as paid vacation and personal days. These benefits are in addition to the Company’s market-based compensation program designed to maintain competitive compensation packages for all employees. We assess the competitiveness of our compensation by principal job classifications in markets across the country through periodic compensation surveys. Company-wide wage increases are also implemented from time-to-time, including an approximate 3.0% wage increase in October 2025, excluding executives.</w:t>
      </w:r>
    </w:p>
    <w:p>
      <w:pPr>
        <w:spacing w:after="0" w:line="75"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In recent years, competition for qualified employees has narrowed the historical compensation gap between union and non-union carriers. We believe that maintaining a direct relationship with our employees provides for better communications and employee relations, which enhances operational flexibility and contributes to lower overall costs. In addition, non-union carriers have more flexibility with respect to work schedules, routes and other similar items. This flexibility is a major consideration in meeting the service levels required by customers. We believe this differentiation provides stronger future growth prospects, improved operating efficiencies and enhanced customer service capabilities.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 Hiring, Training and Professional Development.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seek to hire employees with the desire that they spend their career with us to retirement. With that in mind, identifying qualified candidates and attracting them with competitive compensation and benefits is key to our success. We have regional recruiting managers across the Company to help meet our hiring needs. If necessary, and to attract the most qualified candidates, we offer periodic signing bonuses to new hires.</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More than 300 of our drivers also serve as driver trainers to assist in providing all new drivers with over 80 hours of training. We annually train drivers in defensive driving processes with emphasis on special operations in addition to weekly safety training through various mediums, including videos and group and individual presentations on diverse safety topics. Our tractor fleet is equipped with extensive safety technology, including video recording systems which enable managers to provide coaching and feedback to drivers throughout the year. Our dock employees also receive onboarding instruction which is supplemented with on-going safety and job training. Employees who express an interest in a long-term driving career can enroll in a Company-sponsored dock-to-driver program to obtain the necessary commercial driver certifications. Annual safety awards and recognition are given to drivers, mechanics and dock employees who qualify.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focus on driving employee engagement throughout our organization. We believe it is important to our success as an organization for our employees to understand how their work contributes to our overall performance. We communicate with our workforce through a variety of channels and encourage open and direct communication. Our communication starts with an employee’s manager and is supplemented by a variety of means, including regular industry updates, an internally distributed magazine, reports on quarterly performance directly from the CEO and executive team and annual employee engagement surveys.</w:t>
      </w:r>
    </w:p>
    <w:p>
      <w:pPr>
        <w:spacing w:after="0" w:line="75"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We are committed to fostering a work environment that values collaboration, fairness, and employee growth. We pride ourselves on the equitable treatment of our employees and aim to achieve high levels of employee satisfaction and productivity. We use periodic engagement and compensation surveys to evaluate our efforts in meeting employee needs and driving organizational success.</w:t>
      </w:r>
    </w:p>
    <w:p>
      <w:pPr>
        <w:spacing w:after="0" w:line="68" w:lineRule="exact"/>
        <w:rPr>
          <w:sz w:val="20"/>
          <w:szCs w:val="20"/>
          <w:color w:val="auto"/>
        </w:rPr>
      </w:pPr>
    </w:p>
    <w:p>
      <w:pPr>
        <w:jc w:val="both"/>
        <w:ind w:firstLine="666"/>
        <w:spacing w:after="0" w:line="282" w:lineRule="auto"/>
        <w:rPr>
          <w:sz w:val="20"/>
          <w:szCs w:val="20"/>
          <w:color w:val="auto"/>
        </w:rPr>
      </w:pPr>
      <w:r>
        <w:rPr>
          <w:rFonts w:ascii="Times New Roman" w:cs="Times New Roman" w:eastAsia="Times New Roman" w:hAnsi="Times New Roman"/>
          <w:sz w:val="18"/>
          <w:szCs w:val="18"/>
          <w:color w:val="auto"/>
        </w:rPr>
        <w:t>We seek to create a culture that encourages authenticity and values unique perspectives. By fostering an environment that highlights shared experiences and celebrates individual contributions, we empower our employees to achieve excellence.</w:t>
      </w:r>
    </w:p>
    <w:p>
      <w:pPr>
        <w:spacing w:after="0" w:line="54" w:lineRule="exact"/>
        <w:rPr>
          <w:sz w:val="20"/>
          <w:szCs w:val="20"/>
          <w:color w:val="auto"/>
        </w:rPr>
      </w:pPr>
    </w:p>
    <w:p>
      <w:pPr>
        <w:jc w:val="both"/>
        <w:ind w:firstLine="666"/>
        <w:spacing w:after="0" w:line="282" w:lineRule="auto"/>
        <w:rPr>
          <w:sz w:val="20"/>
          <w:szCs w:val="20"/>
          <w:color w:val="auto"/>
        </w:rPr>
      </w:pPr>
      <w:r>
        <w:rPr>
          <w:rFonts w:ascii="Times New Roman" w:cs="Times New Roman" w:eastAsia="Times New Roman" w:hAnsi="Times New Roman"/>
          <w:sz w:val="18"/>
          <w:szCs w:val="18"/>
          <w:color w:val="auto"/>
        </w:rPr>
        <w:t>Saia’s commitment to fostering a culture of engagement, innovation and collaboration is exemplified by our emphasis on retention, leadership development and opportunities for employee growth. This approach ensures alignment with our core values of safety and taking care of each other.</w:t>
      </w:r>
    </w:p>
    <w:p>
      <w:pPr>
        <w:spacing w:after="0" w:line="54"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Our workforce engagement efforts reflect a cross-functional perspective on fostering collaboration and fairness, as we strive to promote a workplace where all employees feel valued for their contributions. Through ongoing evaluation of processes and programs, we focus on attracting, developing and retaining top talent.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industry capacity has tightened somewhat and consolidation has occurred among certain carriers, shippers continue to have a broad range of transportation options. We believe that service quality, pricing, geographic coverage, breadth of service offerings, responsiveness and operational flexibility remain the primary factors that differentiate competitors within our industry.</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Saia provides LTL services in a highly competitive environment against a wide range of transportation service providers. These competitors include a small number of large, national transportation service providers in the long haul and two-day LTL markets and a larger number of shorter-haul or regional transportation companies in the two-day and overnight LTL markets. The larger the service area, the greater the barriers to entry into the LTL trucking category due to the need for additional equipment and freight terminals associated with this coverage. The level of technology investment required and density needed to provide adequate labor and asset utilization make larger-scale entry into the LTL market difficult. Saia also competes against several modes of transportation, including truckload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private fleets, small package carriers, final mile delivery services, railroads, air freight carriers, third party logistics providers and other emerging digital competitors.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666"/>
        <w:spacing w:after="0" w:line="256" w:lineRule="auto"/>
        <w:rPr>
          <w:sz w:val="20"/>
          <w:szCs w:val="20"/>
          <w:color w:val="auto"/>
        </w:rPr>
      </w:pPr>
      <w:r>
        <w:rPr>
          <w:rFonts w:ascii="Times New Roman" w:cs="Times New Roman" w:eastAsia="Times New Roman" w:hAnsi="Times New Roman"/>
          <w:sz w:val="18"/>
          <w:szCs w:val="18"/>
          <w:color w:val="auto"/>
        </w:rPr>
        <w:t>The trucking industry is subject to regulation by many federal, state and local government agencies in the U.S., and these authorities have broad powers over matters ranging from the authority to engage in motor carrier operations, motor carrier registration, driver hours of service, safety and fitness of transportation equipment and drivers, port security, insurance requirements, employment practices, taxation, data privacy and security, certain mergers and acquisitions, financial reporting, fuel efficiency and emissions standards and the transportation and handling of hazardous materials. Regulatory requirements, and changes in regulatory requirements or guidance, may adversely affect our business or the economics of the industry by requiring changes in operating practices that could influence the demand for and increase the costs of providing transportation services.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areas of regulatory activity include: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Department of Transportation.</w:t>
      </w:r>
    </w:p>
    <w:p>
      <w:pPr>
        <w:spacing w:after="0" w:line="229" w:lineRule="exact"/>
        <w:rPr>
          <w:sz w:val="20"/>
          <w:szCs w:val="20"/>
          <w:color w:val="auto"/>
        </w:rPr>
      </w:pPr>
    </w:p>
    <w:p>
      <w:pPr>
        <w:jc w:val="both"/>
        <w:ind w:firstLine="849"/>
        <w:spacing w:after="0" w:line="266" w:lineRule="auto"/>
        <w:rPr>
          <w:sz w:val="20"/>
          <w:szCs w:val="20"/>
          <w:color w:val="auto"/>
        </w:rPr>
      </w:pPr>
      <w:r>
        <w:rPr>
          <w:rFonts w:ascii="Times New Roman" w:cs="Times New Roman" w:eastAsia="Times New Roman" w:hAnsi="Times New Roman"/>
          <w:sz w:val="18"/>
          <w:szCs w:val="18"/>
          <w:color w:val="auto"/>
        </w:rPr>
        <w:t>Motor carrier and freight brokerage operations are subject to safety, insurance and bonding requirements prescribed by the U.S. Department of Transportation (DOT) and various state agencies. We are also subject to a variety of vehicle registration and licensing requirements in certain states and local jurisdictions where we operate. Matters such as weight and equipment dimensions are also subject to U.S. federal and state regulation.</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Within the DOT, the Federal Motor Carrier Safety Administration (FMCSA) has issued rules, including hours of service regulations that limit the maximum number of hours a driver may be on duty between mandatory off-duty hours and require driver rest breaks. The rules provide that a truck driver may work no more than a maximum of 60 hours within seven consecutive days and 70 hours within eight consecutive days. FMCSA rules further impose a maximum work period of 14 hours (no more than 11 hours of which may be driving time) after first coming on-duty following 10 consecutive hours of off-duty time. Drivers are also required to take a 30-minute break prior to driving beyond 8 hours.</w:t>
      </w:r>
    </w:p>
    <w:p>
      <w:pPr>
        <w:spacing w:after="0" w:line="183" w:lineRule="exact"/>
        <w:rPr>
          <w:sz w:val="20"/>
          <w:szCs w:val="20"/>
          <w:color w:val="auto"/>
        </w:rPr>
      </w:pPr>
    </w:p>
    <w:p>
      <w:pPr>
        <w:jc w:val="both"/>
        <w:ind w:firstLine="674"/>
        <w:spacing w:after="0" w:line="258" w:lineRule="auto"/>
        <w:rPr>
          <w:sz w:val="20"/>
          <w:szCs w:val="20"/>
          <w:color w:val="auto"/>
        </w:rPr>
      </w:pPr>
      <w:r>
        <w:rPr>
          <w:rFonts w:ascii="Times New Roman" w:cs="Times New Roman" w:eastAsia="Times New Roman" w:hAnsi="Times New Roman"/>
          <w:sz w:val="18"/>
          <w:szCs w:val="18"/>
          <w:color w:val="auto"/>
        </w:rPr>
        <w:t>The FMCSA’s Compliance Safety Accountability Program (CSA) is an enforcement and compliance model that assesses a motor carrier’s on-road performance and investigation results for a 24-month period using roadside stops and inspections, resulting in safety and performance ratings in the following categories: unsafe driving; hours-of-service compliance; driver fitness; controlled substances/alcohol; vehicle maintenance; hazardous material compliance; and crash indicators. The evaluations are used to rank carriers and individual drivers and to select carriers for audit and other interventions or enforcement action.</w:t>
      </w:r>
    </w:p>
    <w:p>
      <w:pPr>
        <w:spacing w:after="0" w:line="183" w:lineRule="exact"/>
        <w:rPr>
          <w:sz w:val="20"/>
          <w:szCs w:val="20"/>
          <w:color w:val="auto"/>
        </w:rPr>
      </w:pPr>
    </w:p>
    <w:p>
      <w:pPr>
        <w:jc w:val="both"/>
        <w:ind w:firstLine="764"/>
        <w:spacing w:after="0" w:line="258" w:lineRule="auto"/>
        <w:rPr>
          <w:sz w:val="20"/>
          <w:szCs w:val="20"/>
          <w:color w:val="auto"/>
        </w:rPr>
      </w:pPr>
      <w:r>
        <w:rPr>
          <w:rFonts w:ascii="Times New Roman" w:cs="Times New Roman" w:eastAsia="Times New Roman" w:hAnsi="Times New Roman"/>
          <w:sz w:val="18"/>
          <w:szCs w:val="18"/>
          <w:color w:val="auto"/>
        </w:rPr>
        <w:t>The FMCSA maintains the Commercial Driver’s License Drug and Alcohol Clearinghouse (DAC), which is a database that discloses drug and alcohol violations of commercial motor vehicle drivers. The DAC requires us to check for current and prospective employees’ drug and alcohol violations and annually query for violations of each driver we employ. Drivers with a prohibited status in the DAC will have their state issued commercial driver licenses downgraded and will be unable to continue driving with such until they complete the return-to-duty process. All states are required to check the clearinghouse for any prohibitions before issuing, renewing, transferring or upgrading any commercial driver licenses.</w:t>
      </w:r>
    </w:p>
    <w:p>
      <w:pPr>
        <w:spacing w:after="0" w:line="183" w:lineRule="exact"/>
        <w:rPr>
          <w:sz w:val="20"/>
          <w:szCs w:val="20"/>
          <w:color w:val="auto"/>
        </w:rPr>
      </w:pPr>
    </w:p>
    <w:p>
      <w:pPr>
        <w:jc w:val="both"/>
        <w:ind w:firstLine="764"/>
        <w:spacing w:after="0" w:line="219" w:lineRule="exact"/>
        <w:rPr>
          <w:sz w:val="20"/>
          <w:szCs w:val="20"/>
          <w:color w:val="auto"/>
        </w:rPr>
      </w:pPr>
      <w:r>
        <w:rPr>
          <w:rFonts w:ascii="Times New Roman" w:cs="Times New Roman" w:eastAsia="Times New Roman" w:hAnsi="Times New Roman"/>
          <w:sz w:val="18"/>
          <w:szCs w:val="18"/>
          <w:color w:val="auto"/>
        </w:rPr>
        <w:t>Pursuant to an executive order in April 2025, the FMCSA updated its “out-of-service” criteria strengthening the enforcement of English language proficiency requirements for commercial drivers. Pursuant to the updated criteria, law enforcement must forbid a driver from operating a commercial vehicle if the driver fails a two-part interview and road sign test. In September 2025, the DOT and the FMCSA issued a temporary regulation strengthening the requirements for obtaining and renewing non-domiciled commercial driver licenses (CDLs). The regulation, which is pending judicial review, also directs state licensing agencies to revoke unlawfully issued non-domiciled CDLs. In February 2026, DOT and the FMCSA issued a final rule substantively reaffirming the September 2025 temporary regulation. The final rule requires states to issue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domiciled CDLs only to applicants with certain visa status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supported by proper passport and immigration documentation, and to verify before issuing a license each applicant’s lawful status through the national Systematic Alien Verification for Entitlements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Department of Homeland Security.</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Federal, state and municipal authorities have implemented anti-terrorism measures, including checkpoints and travel restrictions on large trucks. The Transportation Security Administration (TSA) and Customs and Border Protection (CBP) continue to focus on trailer security, driver identification, security clearance and border-crossing procedures. In addition, we must comply with U.S. Citizenship and Immigration Services regulations regarding the eligibility of our employees to work in the U.S. These and other safety and security measures, such as rules for transportation of hazardous materials and cargo-security regulations, could increase the cost of operations, reduce the number of qualified drivers and disrupt or impede the timing of our deliveries to customers.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operations are subject to federal, state, local, and foreign regulations with regard to air and water quality and other environmental matters. Regulation in this area continues to evolve with changes in the enforcement of existing regulations, as well as the enactment and enforcement of new regulations that may require us or our customers to modify, supplement or replace equipment or facilities or to change or discontinue present methods of operation. Specifically, the U.S. Environmental Protection Agency (EPA) has issued regulations reducing the sulfur content of diesel fuel and reducing engine emissions.</w:t>
      </w:r>
    </w:p>
    <w:p>
      <w:pPr>
        <w:spacing w:after="0" w:line="183" w:lineRule="exact"/>
        <w:rPr>
          <w:sz w:val="20"/>
          <w:szCs w:val="20"/>
          <w:color w:val="auto"/>
        </w:rPr>
      </w:pPr>
    </w:p>
    <w:p>
      <w:pPr>
        <w:jc w:val="both"/>
        <w:ind w:firstLine="674"/>
        <w:spacing w:after="0" w:line="254" w:lineRule="auto"/>
        <w:rPr>
          <w:sz w:val="20"/>
          <w:szCs w:val="20"/>
          <w:color w:val="auto"/>
        </w:rPr>
      </w:pPr>
      <w:r>
        <w:rPr>
          <w:rFonts w:ascii="Times New Roman" w:cs="Times New Roman" w:eastAsia="Times New Roman" w:hAnsi="Times New Roman"/>
          <w:sz w:val="18"/>
          <w:szCs w:val="18"/>
          <w:color w:val="auto"/>
        </w:rPr>
        <w:t>Our operations are subject to environmental laws and regulations dealing with the handling of hazardous materials, underground fuel storage tanks and discharge and retention of storm water. We operate in industrial areas where truck terminals and other industrial activities are located and where groundwater or other forms of environmental contamination may have occurred. Under existing law, we could be held responsible for costs related to environmental contamination at or emanating from our current and past facilities and at third party waste disposal sites. Our operations involve the risks of fuel spillage or seepage, environmental damage and hazardous waste disposal and costs associated with the leakage or discharge of hazardous materials we transport for our customers, among others. Violations of applicable environmental laws or regulations or spills or other accidents involving hazardous substances may subject us to cleanup costs, liabilities not covered by insurance, substantial fines or penalties and to civil and criminal liability, any of which could adversely affect our financial condition, results of operations, liquidity and cash flows.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Clean Trucks Plan.</w:t>
      </w:r>
    </w:p>
    <w:p>
      <w:pPr>
        <w:spacing w:after="0" w:line="227" w:lineRule="exact"/>
        <w:rPr>
          <w:sz w:val="20"/>
          <w:szCs w:val="20"/>
          <w:color w:val="auto"/>
        </w:rPr>
      </w:pPr>
    </w:p>
    <w:p>
      <w:pPr>
        <w:jc w:val="both"/>
        <w:ind w:firstLine="666"/>
        <w:spacing w:after="0" w:line="220" w:lineRule="exact"/>
        <w:rPr>
          <w:sz w:val="20"/>
          <w:szCs w:val="20"/>
          <w:color w:val="auto"/>
        </w:rPr>
      </w:pPr>
      <w:r>
        <w:rPr>
          <w:rFonts w:ascii="Times New Roman" w:cs="Times New Roman" w:eastAsia="Times New Roman" w:hAnsi="Times New Roman"/>
          <w:sz w:val="18"/>
          <w:szCs w:val="18"/>
          <w:color w:val="auto"/>
        </w:rPr>
        <w:t>In 2021, the EPA announced its “Clean Trucks Plan” (CTP), which aimed to develop new rules over a three-year timeframe to reduce greenhouse gas emissions and other air pollutants from heavy-duty trucks while accelerating the transition to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emission and zero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emission technologies. In 2022, the EPA finalized the first phase of the CTP, also known as the Heavy-Duty NOx rule, by adopting a final rule setting more stringent nitrogen oxides emission standards for new heavy-duty vehicles and engines starting in model year 2027. In 2024, the EPA approved a new rule as Phase 3 under the CTP regarding greenhouse gas standards for the manufacture, sale, or importation of heavy-duty trucks that aims to reduce greenhouse gas emissions by up to 60% by 2032 for some vehicle classes. The standards apply to heavy-duty vehicles manufactured starting in model year 2028 through model year 2032 and revise certain greenhouse standards for model year 2027 that were established under the prior rulemaking. In March 2025, the EPA reopened and reconsidered key regulations related to the CTP, including the Phase 3 greenhouse gas standards, the Heavy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Duty NOx rule, and the light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duty vehicle emissions standards, framing them as overly costly and burdensome. In July 2025, the administration proposed eliminating all existing federal greenhouse gas standards for light-, medium-, and heavy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duty vehicles dating back to 2010. Concurrently, the EPA announced a broader reevaluation of the CTP, citing industry concerns regarding infrastructure readiness, vehicle costs, operational feasibility, and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chain impacts.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Air Resources Board (CARB).</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Several states have enacted legislation relating to engine emissions, trailer regulations, fuel economy, and/or fuel formulation, such as regulations issued by CARB. CARB regulations apply to both in-state California carriers and carriers outside of California who own or dispatch equipment in the state. In 2021, CARB adopted more stringent standards to reduce nitrogen oxide emissions by heavy-duty engines. CARB has also adopted regulations to accelerate large-scale transition in California to zero-emission medium and heavy-duty trucks, including trucks of a type used in our operations in California.</w:t>
      </w:r>
    </w:p>
    <w:p>
      <w:pPr>
        <w:spacing w:after="0" w:line="183"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In 2023, California enacted two climate disclosure laws – SB 253 and SB 261. Senate Bill 253 will require companies with revenues greater than $1 billion doing business in California to comprehensively report their Scope 1, 2, and 3 emissions and to obtain a third-party audit. Despite delays in promulgating rules, SB 253 is anticipated to be implemented in 2026. Senate Bill 261 requires U.S. businesses with over $500 million in revenue operating in California to disclose climate-related financial risks and mitigation plans biannually. In November 2025, the United States Court of Appeals for the Ninth Circuit granted an injunction pausing implementation of Senate Bill 261.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Clean Trucks.</w:t>
      </w:r>
    </w:p>
    <w:p>
      <w:pPr>
        <w:spacing w:after="0" w:line="227" w:lineRule="exact"/>
        <w:rPr>
          <w:sz w:val="20"/>
          <w:szCs w:val="20"/>
          <w:color w:val="auto"/>
        </w:rPr>
      </w:pPr>
    </w:p>
    <w:p>
      <w:pPr>
        <w:jc w:val="both"/>
        <w:ind w:firstLine="666"/>
        <w:spacing w:after="0" w:line="261" w:lineRule="auto"/>
        <w:rPr>
          <w:sz w:val="20"/>
          <w:szCs w:val="20"/>
          <w:color w:val="auto"/>
        </w:rPr>
      </w:pPr>
      <w:r>
        <w:rPr>
          <w:rFonts w:ascii="Times New Roman" w:cs="Times New Roman" w:eastAsia="Times New Roman" w:hAnsi="Times New Roman"/>
          <w:sz w:val="18"/>
          <w:szCs w:val="18"/>
          <w:color w:val="auto"/>
        </w:rPr>
        <w:t>CARB’s Advanced Clean Trucks (ACT) regulation requires truck manufacturers to sell zero-emission trucks as an increasing percentage of their annual California sales. By 2035, zero-emission truck/chassis sales must account for 40% of truck tractor sales in the state. Numerous other states have adopted or are in the process of adopting regulations similar to the ACT regulation. In June 2025, the current administration overturned several EPA waivers granted to California including the waiver for the ACT regulation. Litigation regarding the administration’s actions is ongoing.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Clean Fleets.</w:t>
      </w:r>
    </w:p>
    <w:p>
      <w:pPr>
        <w:spacing w:after="0" w:line="227" w:lineRule="exact"/>
        <w:rPr>
          <w:sz w:val="20"/>
          <w:szCs w:val="20"/>
          <w:color w:val="auto"/>
        </w:rPr>
      </w:pPr>
    </w:p>
    <w:p>
      <w:pPr>
        <w:jc w:val="both"/>
        <w:ind w:firstLine="755"/>
        <w:spacing w:after="0" w:line="219" w:lineRule="exact"/>
        <w:rPr>
          <w:sz w:val="20"/>
          <w:szCs w:val="20"/>
          <w:color w:val="auto"/>
        </w:rPr>
      </w:pPr>
      <w:r>
        <w:rPr>
          <w:rFonts w:ascii="Times New Roman" w:cs="Times New Roman" w:eastAsia="Times New Roman" w:hAnsi="Times New Roman"/>
          <w:sz w:val="18"/>
          <w:szCs w:val="18"/>
          <w:color w:val="auto"/>
        </w:rPr>
        <w:t>In 2023, CARB adopted the Advanced Clean Fleets (ACF) regulation mandating that operators of 50 or more trucks must operate fleets comprised of an increasing percentage of zero-emission vehicles. The regulation includes a phase-in period from 2027 to 2045, depending on the class of vehicle. In January 2025, CARB withdrew its request to the EPA for a waiver that would have allowed it to adopt and enforce the ACF standards. In October 2025, in response to lawsuits brought by a coalition of states and trucking industry groups, CARB agreed to repeal portions of the ACF regulation, including the high-priority fleet and drayage fleet provisions. As a part of the settlement, CARB also agreed not to enforce the ACF regulation’s 2036 mandate requiring 100% zero-emission sales of new medium and heavy-duty trucks until an EPA waiver is obtained. The failure to obtain a waiver repealed CARB’s ability to enforce ACF requirements on private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sector fleets. Final action on the repeal is required by August 2026. It remains unclear whether CARB may reintroduce similar regulations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Drug Administration.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transportation provider of foodstuffs, we are subject to rules and regulations issued by the Food and Drug Administration (FDA) to provide for the security of food and foodstuffs throughout the supply chain. The FDA has issued a final rule to establish certain requirements under the Sanitary Food and Transportation Act (SFTA) for vehicles and transportation equipment, transportation operations, training, recordkeeping and waivers. The rule is designed to promote best practices in the industry concerning cleaning, inspection, maintenance, loading and unloading of, and operation of vehicles. Under the SFTA requirements, carriers are required to develop and implement written procedures subject to recordkeeping that specify their practices for cleaning, sanitizing, and inspecting vehicles and transportation equipment.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Regulations.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laws and regulations regarding data protection and transparency in how data is used and stored in the U.S. and other countries. As a transportation and logistics provider, we collect and process significant amounts of data daily.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Patents</w:t>
      </w:r>
    </w:p>
    <w:p>
      <w:pPr>
        <w:spacing w:after="0" w:line="128"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8"/>
          <w:szCs w:val="18"/>
          <w:color w:val="auto"/>
        </w:rPr>
        <w:t>We have registered several service marks and trademarks in the United States Patent and Trademark Office, including Saia Guaranteed Select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Saia Customer Service Indicators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Saia Xtreme Guarantee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We believe these service marks and trademarks are important components of our marketing strategy.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Saia has a website that is located at www.saia.com. Saia makes available, free of charge through its website, all filings with the Securities and Exchange Commission (SEC) as soon as reasonably practicable after making such filings with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executive officers of Saia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9"/>
              </w:rPr>
              <w:t>Age</w:t>
            </w:r>
          </w:p>
        </w:tc>
        <w:tc>
          <w:tcPr>
            <w:tcW w:w="68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color w:val="auto"/>
              </w:rPr>
              <w:t>Positions Held</w:t>
            </w:r>
          </w:p>
        </w:tc>
      </w:tr>
      <w:tr>
        <w:trPr>
          <w:trHeight w:val="40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Frederick J. Holzgrefe, III</w:t>
            </w:r>
          </w:p>
        </w:tc>
        <w:tc>
          <w:tcPr>
            <w:tcW w:w="14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58</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of Saia, Inc. since April 2020. Mr. Holzgrefe served</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President and Chief Operating Officer of Saia, Inc. from January 2019 to April 2020.</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to this, Mr. Holzgrefe served as Executive Vice President and Chief Financial Officer</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starting in September 2014. Mr. Holzgrefe has been a member of the Board of Directors of</w:t>
            </w:r>
          </w:p>
        </w:tc>
      </w:tr>
      <w:tr>
        <w:trPr>
          <w:trHeight w:val="234"/>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Saia, Inc. since January 2019.</w:t>
            </w:r>
          </w:p>
        </w:tc>
      </w:tr>
      <w:tr>
        <w:trPr>
          <w:trHeight w:val="4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Matthew J. Batteh</w:t>
            </w:r>
          </w:p>
        </w:tc>
        <w:tc>
          <w:tcPr>
            <w:tcW w:w="14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36</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Chief Financial Officer and Secretary of Saia, Inc. since May</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Mr. Batteh served as Vice President of Finance from 2023 until May 2024.  Prior to</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 he served as Saia’s Vice President, Pricing and Analytics from 2020 to 2023 after</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serving in a variety of pricing and financial analysis roles since joining the Company in</w:t>
            </w:r>
          </w:p>
        </w:tc>
      </w:tr>
      <w:tr>
        <w:trPr>
          <w:trHeight w:val="234"/>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r>
      <w:tr>
        <w:trPr>
          <w:trHeight w:val="4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Patrick D. Sugar</w:t>
            </w:r>
          </w:p>
        </w:tc>
        <w:tc>
          <w:tcPr>
            <w:tcW w:w="14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38</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of Operations of Saia, Inc. since March 2021. Mr. Sugar joined the</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in December 2016 and served as Vice President of Linehaul and Industrial</w:t>
            </w:r>
          </w:p>
        </w:tc>
      </w:tr>
      <w:tr>
        <w:trPr>
          <w:trHeight w:val="234"/>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 from December 2018 until March 2021.</w:t>
            </w:r>
          </w:p>
        </w:tc>
      </w:tr>
      <w:tr>
        <w:trPr>
          <w:trHeight w:val="4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Raymond R. Ramu</w:t>
            </w:r>
          </w:p>
        </w:tc>
        <w:tc>
          <w:tcPr>
            <w:tcW w:w="14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57</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Chief Customer Officer of Saia, Inc. since May 2015. Mr.</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Ramu joined Saia LTL Freight in December 1997 and served as Vice President of Sales -</w:t>
            </w:r>
          </w:p>
        </w:tc>
      </w:tr>
      <w:tr>
        <w:trPr>
          <w:trHeight w:val="234"/>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 from April 2007 to May 2015.</w:t>
            </w:r>
          </w:p>
        </w:tc>
      </w:tr>
      <w:tr>
        <w:trPr>
          <w:trHeight w:val="4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Tarak Patel</w:t>
            </w:r>
          </w:p>
        </w:tc>
        <w:tc>
          <w:tcPr>
            <w:tcW w:w="14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50</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Chief Information Officer of Saia, Inc. since joining the</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in October 2025. Prior to joining the Company, he served as the Chief Information</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 for the Consumer Packaging &amp; Machinery Division at Smurfit WestRock from 2021</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October 2025 and Vice President - Information Technology at E. &amp; J. Gallo Winery from</w:t>
            </w:r>
          </w:p>
        </w:tc>
      </w:tr>
      <w:tr>
        <w:trPr>
          <w:trHeight w:val="234"/>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 to 2021.</w:t>
            </w:r>
          </w:p>
        </w:tc>
      </w:tr>
      <w:tr>
        <w:trPr>
          <w:trHeight w:val="4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Anthony R. Norwood</w:t>
            </w:r>
          </w:p>
        </w:tc>
        <w:tc>
          <w:tcPr>
            <w:tcW w:w="14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59</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Chief Human Resources Officer of Saia, Inc. since joining the</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in March 2022. Prior to joining Saia, Mr. Norwood was Vice President, Human</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Resources - Corporate for Trane Technologies from April 2020 to March 2022. Prior to that,</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Norwood served in various executive roles from 2008 to 2020 at Ingersoll Rand,</w:t>
            </w:r>
          </w:p>
        </w:tc>
      </w:tr>
      <w:tr>
        <w:trPr>
          <w:trHeight w:val="234"/>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as Vice President, Human Resources.</w:t>
            </w: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Officers are appointed by the Board of Directors of Saia, Inc. and serve at the discretion of the Board. With the exception of Mr. Holzgrefe, none of the officers of the Company are subject to an employment agreement with the Company. There are no family relationships between any executive officer and any other executive officer or director of Saia, Inc. or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Certain factors may have a material adverse effect on our business, financial condition, and results of operations. You should carefully consider the risks and uncertainties described below, together with all the other information included in this Annual Report on Form 10-K, including our financial statements and the related notes. Our business, financial condition, operating results, cash flow and prospects could be materially and adversely affected by any of these risks or uncertainties. The risks below are organized by headings and each risk</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is discussed separately, but many are interrelated. The risks and uncertainties described below are not the only ones we face. Additional risks and uncertainties that we are unaware of or that we currently see as immaterial may also adversely affect our business. Some statements in this Annual Report on Form 10-K, including statements in the following risk factors, constitute forward-looking statements. Please refer to “Cautionary Note Regarding Forward-Looking Statements.”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010101"/>
        </w:rPr>
        <w:t>Industry and Economic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general economic conditions, any of which could adversely affect our business.</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Our business is subject to a number of general economic conditions that may have a material adverse effect on our financial condition, results of operations, liquidity and cash flows. These conditions include recessionary economic cycles and downturns in customer business cycles, labor and supply shortages, global uncertainty and instability, inflation, changes in U.S. social, political, and regulatory conditions, tariffs and international trade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policies and relations, and disruptions in oil and financial markets. Economic conditions may adversely affect the business levels of our customers, their demand for transportation services, their ability to pay for our services, and could reduce the prices we are able to charge for our services.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our business will be adversely impacted if we are unable to adequately address competitive pressures, such as industry consolidation, new competitors in the market, potential downward pricing pressures and other factors.</w:t>
      </w:r>
    </w:p>
    <w:p>
      <w:pPr>
        <w:spacing w:after="0" w:line="159" w:lineRule="exact"/>
        <w:rPr>
          <w:sz w:val="20"/>
          <w:szCs w:val="20"/>
          <w:color w:val="auto"/>
        </w:rPr>
      </w:pPr>
    </w:p>
    <w:p>
      <w:pPr>
        <w:jc w:val="both"/>
        <w:ind w:firstLine="666"/>
        <w:spacing w:after="0" w:line="282" w:lineRule="auto"/>
        <w:rPr>
          <w:sz w:val="20"/>
          <w:szCs w:val="20"/>
          <w:color w:val="auto"/>
        </w:rPr>
      </w:pPr>
      <w:r>
        <w:rPr>
          <w:rFonts w:ascii="Times New Roman" w:cs="Times New Roman" w:eastAsia="Times New Roman" w:hAnsi="Times New Roman"/>
          <w:sz w:val="18"/>
          <w:szCs w:val="18"/>
          <w:color w:val="auto"/>
        </w:rPr>
        <w:t>Numerous competitive factors could reduce our revenues, profit margins or market share or otherwise impair our business, any one of which may materially adversely affect our financial condition, results of operations, liquidity and cash flows. These factors include:</w:t>
      </w:r>
    </w:p>
    <w:p>
      <w:pPr>
        <w:spacing w:after="0" w:line="54" w:lineRule="exact"/>
        <w:rPr>
          <w:sz w:val="20"/>
          <w:szCs w:val="20"/>
          <w:color w:val="auto"/>
        </w:rPr>
      </w:pPr>
    </w:p>
    <w:p>
      <w:pPr>
        <w:jc w:val="both"/>
        <w:ind w:left="1420" w:hanging="37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many other transportation service providers of varying types including LTL carriers, truckload and parcel carriers, non-asset based logistics, freight brokerage companies, air-freight carriers and railroads, some of whom have more equipment, a broader coverage network, a wider range of services and greater capital resources than we do or have other competitive advantages;</w:t>
      </w:r>
    </w:p>
    <w:p>
      <w:pPr>
        <w:spacing w:after="0" w:line="67" w:lineRule="exact"/>
        <w:rPr>
          <w:rFonts w:ascii="Times New Roman" w:cs="Times New Roman" w:eastAsia="Times New Roman" w:hAnsi="Times New Roman"/>
          <w:sz w:val="18"/>
          <w:szCs w:val="18"/>
          <w:color w:val="auto"/>
        </w:rPr>
      </w:pPr>
    </w:p>
    <w:p>
      <w:pPr>
        <w:ind w:left="1420" w:hanging="37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companies periodically reduce their prices to gain business, especially during economic recessions or times of reduced growth rates in the economy, which may limit our ability to maintain or increase prices or grow our business;</w:t>
      </w:r>
    </w:p>
    <w:p>
      <w:pPr>
        <w:spacing w:after="0" w:line="53" w:lineRule="exact"/>
        <w:rPr>
          <w:rFonts w:ascii="Times New Roman" w:cs="Times New Roman" w:eastAsia="Times New Roman" w:hAnsi="Times New Roman"/>
          <w:sz w:val="18"/>
          <w:szCs w:val="18"/>
          <w:color w:val="auto"/>
        </w:rPr>
      </w:pPr>
    </w:p>
    <w:p>
      <w:pPr>
        <w:jc w:val="both"/>
        <w:ind w:left="1420" w:hanging="37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customers reduce the number of carriers they use by selecting approved transportation service providers, periodically accepting bids from multiple carriers for their shipping needs, or by developing their own or using alternative delivery mechanisms, and these practices may depress prices or result in the loss of business;</w:t>
      </w:r>
    </w:p>
    <w:p>
      <w:pPr>
        <w:spacing w:after="0" w:line="67" w:lineRule="exact"/>
        <w:rPr>
          <w:rFonts w:ascii="Times New Roman" w:cs="Times New Roman" w:eastAsia="Times New Roman" w:hAnsi="Times New Roman"/>
          <w:sz w:val="18"/>
          <w:szCs w:val="18"/>
          <w:color w:val="auto"/>
        </w:rPr>
      </w:pPr>
    </w:p>
    <w:p>
      <w:pPr>
        <w:ind w:left="1420" w:hanging="37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 towards consolidation in the surface transportation industry may create other large carriers with greater financial resources than us and other competitive advantages due to their size;</w:t>
      </w:r>
    </w:p>
    <w:p>
      <w:pPr>
        <w:spacing w:after="0" w:line="53" w:lineRule="exact"/>
        <w:rPr>
          <w:rFonts w:ascii="Times New Roman" w:cs="Times New Roman" w:eastAsia="Times New Roman" w:hAnsi="Times New Roman"/>
          <w:sz w:val="18"/>
          <w:szCs w:val="18"/>
          <w:color w:val="auto"/>
        </w:rPr>
      </w:pPr>
    </w:p>
    <w:p>
      <w:pPr>
        <w:jc w:val="both"/>
        <w:ind w:left="1420" w:hanging="371"/>
        <w:spacing w:after="0" w:line="261"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Disruptive technologies, including driverless trucks, electric vehicles, alternative fuels, artificial intelligence (AI) applications and software applications to monitor supply and demand may significantly alter historical business models of the trucking industry, potentially leading to increased capital expenditures and emergence of new competitors, some of whom may have greater financial resources than us and other advantages due to their size;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line="86" w:lineRule="exact"/>
        <w:rPr>
          <w:sz w:val="20"/>
          <w:szCs w:val="20"/>
          <w:color w:val="auto"/>
        </w:rPr>
      </w:pPr>
    </w:p>
    <w:p>
      <w:pPr>
        <w:jc w:val="both"/>
        <w:ind w:left="1420" w:hanging="371"/>
        <w:spacing w:after="0" w:line="266"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business enterprises, including e-commerce companies, with greater financial resources than us and other competitive advantages due to their size, have made or could make in the future investments that could enable them to enter into and compete with us in the LTL market;</w:t>
      </w:r>
    </w:p>
    <w:p>
      <w:pPr>
        <w:spacing w:after="0" w:line="67" w:lineRule="exact"/>
        <w:rPr>
          <w:rFonts w:ascii="Times New Roman" w:cs="Times New Roman" w:eastAsia="Times New Roman" w:hAnsi="Times New Roman"/>
          <w:sz w:val="18"/>
          <w:szCs w:val="18"/>
          <w:color w:val="auto"/>
        </w:rPr>
      </w:pPr>
    </w:p>
    <w:p>
      <w:pPr>
        <w:ind w:left="1420" w:hanging="37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 toward increased sales in the e-commerce sector as opposed to the traditional brick and mortar store model could threaten the continued operation of our retail customers, which could reduce the demand for our services and adversely impact our revenues; and</w:t>
      </w:r>
    </w:p>
    <w:p>
      <w:pPr>
        <w:spacing w:after="0" w:line="53" w:lineRule="exact"/>
        <w:rPr>
          <w:rFonts w:ascii="Times New Roman" w:cs="Times New Roman" w:eastAsia="Times New Roman" w:hAnsi="Times New Roman"/>
          <w:sz w:val="18"/>
          <w:szCs w:val="18"/>
          <w:color w:val="auto"/>
        </w:rPr>
      </w:pPr>
    </w:p>
    <w:p>
      <w:pPr>
        <w:ind w:left="1420" w:hanging="37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require increased investments to remain competitive, and we may not utilize sufficient advanced technology, select the correct technology solutions or persuade our customers to accept higher prices to offset these investment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transportation industry is affected by business risks that are largely out of our control.</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Businesses operating in the transportation industry are subject to risks that are largely out of our control. These risks include the health of the economy, weather and other seasonal factors, excess capacity in the transportation industry, supply chain disruptions, labor shortages, strikes or disruptions involving U.S. or international ports, decline in U.S. manufacturing, the impact of new or higher tariffs, armed conflicts, acts of terrorism and the government’s subsequent response, health epidemics, interest rates, inflation, fuel costs, taxes, license and registration fees, healthcare costs, insurance premiums and coverage availability. These risks, among others, may materially adversely affect our financial condition, results of operations, liquidity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cost and availability of qualified employees and purchased transportation.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is significant competition for qualified drivers within the trucking industry and attracting and retaining qualified drivers has become more challenging due to a decreasing pool of qualified drivers and high turnover rates. Age demographics, hours of service rules, the legalization and growing recreational use of marijuana and regulatory requirements, including the Compliance Safety Accountability program and the Commercial Driver’s License Drug and Alcohol Clearinghouse of the Federal Motor Carrier Safety Administration (FMCSA), have contributed to the reduction in the number of eligible drivers and may continue to do so in the future.</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an executive order in April 2025, the FMCSA updated its “out-of-service” criteria strengthening the enforcement of English language proficiency requirements for commercial drivers. Pursuant to the updated criteria, law enforcement must forbid a driver from operating a commercial vehicle if the driver fails a two-part interview and road sign test. In September 2025, the U.S. Department of Transportation (DOT) and the FMCSA issued a regulation strengthening the requirements for obtaining and renewing non-domiciled commercial driver licenses (CDLs). The regulation also directs state licensing agencies to revoke unlawfully issued non-domiciled CDLs. Increased enforcement of English language proficiency requirements for commercial drivers and regulatory efforts targeting unlawfully issued CDLs have further reduced the number of eligible commercial drivers and may continue to do so in the future and may lead to higher wages to attract qualified commercial drivers.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as a result of general macroeconomic factors and the competitive labor market, we are experiencing difficulty hiring sufficient qualified employees to fill all available positions, including qualified drivers. The labor shortage is not limited to qualified drivers and at times, we have been unable to hire qualified dockworkers, mechanics and office personnel. We may experience shortages of qualified employees that could result in the failure to meet customer demands, upward pressure on wages and benefits, underutilization of our truck fleet and/or use of higher cost purchased transportation, any of which could have a material adverse effect on our financial condition, results of operations, liquidity and cash flows.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operating and growth strategy depends on our ability to maintain adequate capacity throughout our service network, and we rely on purchased transportation to meet these needs. There is significant competition for quality purchased transportation within the trucking industry. We periodically experience shortages of quality purchased transportation that could result in higher costs for these services or prevent us from meeting customer demands which could have a material adverse effect on our financial condition, results of operations, liquidity and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increase our expenses and lower profitability.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Inflation has been significant in the United States in recent years. Inflation increases most of our expenses, including equipment prices, maintenance and supply costs, diesel fuel costs, insurance costs, claims costs, utility costs, employee wages and benefits, healthcare costs, real estate costs, and purchased transportation. With increasing costs, we may have to increase our prices to maintain the same level of profitability. If we are unable to increase our prices sufficiently to offset increasing expenses, our financial condition, results of operations, liquidity and cash flows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cost and availability of diesel fuel and on fuel surcharges.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Diesel fuel is a significant operating expense, and its availability is vital to daily operations. We do not hedge against the risk of diesel fuel price increases. General economic conditions, global political events, armed conflicts, acts of terrorism, cybersecurity incidents, inflation, tariffs, federal, state and local laws and regulations, world supply and demand imbalances, changes in refining capacity, public and investor sentiment, natural or man-made disasters, adverse weather conditions and other external factors could adversely affect the cost and availability of diesel fuel. In the past, we have secured diesel fuel from various sources and in the desired quantities, but there can be no assurance that this will continue to be the case in the future. Any shortage or interruption in the supply or distribution of diesel fuel could materially affect our financial condition, results of operations, liquidity and cash flows.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the extent not offset by diesel fuel surcharges or other customer price changes, volatility in diesel fuel prices could have a material adverse effect on our financial condition, results of operations, liquidity and cash flows. Historically, we have been able to offset significant diesel fuel price volatility through fuel surcharges and other pricing adjustments but we may not be able to do so in the future. Fluctuations in our diesel fuel surcharge recovery may result in fluctuations in our revenue. Rapid and significant fluctuations in diesel fuel prices could reduce our profitability unless we are able to make the appropriate adjustments to our pricing strategy. Such fluctuations could materially adversely affect our financial condition, results of operations, liquidity and cash flows.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010101"/>
        </w:rPr>
        <w:t>Business and Operational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insurance and claims expenses could materially reduce and cause volatility in our earnings.</w:t>
      </w:r>
    </w:p>
    <w:p>
      <w:pPr>
        <w:spacing w:after="0" w:line="121"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We are regularly subject to claims resulting from personal injury, cargo loss, property damage, group healthcare and workers’ compensation claims. The Company is self-insured for portions of medical, workers’ compensation, auto liability, casualty and cargo claims. We maintain insurance with licensed insurance companies above these self-insured retention limits. The trucking business has experienced significant increases in the cost of liability insurance, in the size of jury verdicts in personal injury cases arising from trucking accidents and in the cost of settling such claims. If the number or severity of these claims continues to increase, claims expenses might exceed historical levels or could exceed the amounts of our insurance coverage or the amount of our reserves for self-insured claims, which could materially adversely affect our financial condition, results of operations, liquidity and cash flows.</w:t>
      </w:r>
    </w:p>
    <w:p>
      <w:pPr>
        <w:spacing w:after="0" w:line="81"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The Company is dependent on a limited number of third-party insurance companies to provide insurance coverage in excess of our self-insured retention amounts. In recent years, several insurance companies have completely stopped offering coverage to trucking companies, have significantly reduced the amount of coverage they offer or have significantly raised premiums as a result of increases in the severity of automobile liability claims and sharply higher costs of settlements and verdicts. To the extent that the third-party insurance companies propose increases to their premiums for coverage of commercial trucking claims, the Company may decide to pay such increased premiums or increase its financial exposure on an aggregate or per occurrence basis, including by increasing the amount of its self-insured retention or reducing the amount of total coverage. This trend could adversely affect our ability to obtain suitable insurance coverage, could significantly increase our cost for obtaining such coverage, or could subject us to significant liabilities for which no insurance coverage is in place, which could materially adversely affect our financial condition, results of operations, liquidity and cash flows.</w:t>
      </w:r>
    </w:p>
    <w:p>
      <w:pPr>
        <w:spacing w:after="0" w:line="84"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Our self-insured retention limits can make our insurance and claims expenses higher and/or more volatile. We accrue for the estimated costs of the uninsured portion of pending claims based on the nature and severity of individual claims and historical claims development trends. Estimating the number and severity of claims, as well as related judgment or settlement amounts, is inherently difficult. This, along with legal expenses associated with claims, incurred but not reported claims, and other uncertainties can cause unfavorable differences between actual self-insurance costs and our reserve estimates.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To the extent the Company incurs one or more significant claims not covered by insurance, either because the claims are within our self-insured layer or because they exceed our total insurance coverage, our financial condition, results of operations, and liquidity could be materially and adversely affected.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insurance companies, as well as certain states, require collateral in the form of letters of credit or surety bonds for the estimated exposure of claims within our self-insured retentions. Their estimates of our future exposure as well as external market conditions could influence the amount and costs of letters of credit or surety bonds required under our insurance programs and thereby reduce capital available for future growth or adversely affect our financial condition, results of operations, liquidity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geographic and network expansion.</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implemented a strategy to significantly expand our geographic and terminal network. Consistent with our growth strategy, we have recently opened numerous new terminals in new and existing markets, and we intend to continue this terminal network growth in the future. There can be no assurance that we will be successful at adding new markets or terminals as planned, or that such markets or terminals will be profitable. Our expansion has required and will continue to require, significant investments in purchased or leased terminals, equipment (including the purchase of new tractors and trailers), technology, employees and other related start-up costs to facilitate our growth plans. Expansion could cause disruptions in our existing geography or customer service levels or require management to devote excessive time and effort to manage the expansion, which could materially adversely affect our business operations and profitability. Operating in new geographies may also increase the possibility of union organizing efforts. A delay between the outlay of expenditures to expand our geographic and network footprint and generation of new revenue or higher than anticipated costs or lower than expected revenues from the expansion could negatively impact our business. We may experience decreased profitability until we are able to fully realize the benefits of the investment, if ever. A failure or delay in realizing the benefits of this investment may adversely impact our financial condition, results of operations, liquidity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purchase of certain real estate assets.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2024, we acquired 17 freight terminals and leases to operate an additional 11 freight terminals pursuant to a sale by Yellow Corporation under Sections 363 and 365 of Chapter 11 of Title 11 of the U.S. Code. In connection with this acquisition, we assumed certain liabilities related to those facilities, including assumption of liabilities relating to environmental, health and safety matters in connection with the ownership, operation, use or maintenance of such facilities, to the extent not extinguished by the proceedings of the U.S. Bankruptcy Court for the District of Delaware. Since January 2024, we have also acquired additional facilities by assuming certain Yellow Corporation leases. We acquired these real estate assets on an as-is basis and could incur costs and expenses related to these assets that are unexpected or that exceed costs and expenses otherwise known. Moreover, from time to time we acquire real estate previously utilized by other freight companies or located in industrial areas, which may have a history of environmental contamination prior to our occupation. Failure to detect prior environmental contamination or adequately protect ourselves from associated liabilities could adversely affect our financial condition, results of operations, liquidity and cash flows. There can be no assurance that the Company will achieve the expected financial benefits of the acquisition of such assets.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technology to operate our business, including through the use of third-party applications, and cybersecurity threats or other disruptions to our technology infrastructure could harm our business or reputation.</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customers and compete effectively depends upon the reliability of our technology systems and network. Our cybersecurity and technology infrastructure includes technology products and services provided to us for use in our business by third party providers such as software as a service and cloud-based products and services. These third parties may store or transmit our data and may have access to information regarding our business operations, customers, and employees. Our technology systems, including any third-party applications, are constantly subject to attacks and efforts by outsiders to breach or gain access to our systems. Any disruption, failure or breach to our cybersecurity processes, technology controls or information technology infrastructure, including those impacting our computer systems and website, could adversely impact our customer service and revenues and result in increased risk of litigation or other costs. Our cybersecurity and technology infrastructure may experience errors, interruptions, failures, delays or damage from a number of causes outside of our control, including power and internet outages, hardware, software and network failures, computer viruses, malware or other destructive software, internal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design, manual or usage errors, cyber-attacks, terrorism, workplace violence or wrongdoing, catastrophic events, natural disasters and severe weather conditions. While we have invested and continue to invest in technology security initiatives and disaster recovery plans, these measures cannot fully protect us from technology disruptions that could have a material adverse effect on our financial condition, results of operations, liquidity and cash flows.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dependence on electronic data storage, cloud-based systems, automated systems and technology, including our website, gives rise to cybersecurity risks. The techniques used to obtain unauthorized access or to disable or degrade systems change frequently, have become increasingly more complex and sophisticated and may be difficult to detect for a period of time and we may not be able to anticipate these acts or respond adequately or timely. Further, the evolution and increased adoption of technologies such as artificial intelligence and machine learning may make anticipating threats and implementing protective measures more difficult. We currently maintain insurance to address certain costs associated with cyber incidents and data privacy-related concerns. However, we cannot ensure that we will continue to maintain such insurance coverage in amounts we deem sufficient, that our insurance carriers will pay on our insurance claims, or that we will not experience uncovered claims. A security breach of our systems or those of our third-party providers may cause a disruption of our business, impact our ability to attract, retain and service customers, damage our reputation and brand, expose us to a loss of information or to a demand for payment of ransom or result in litigation, violations of applicable privacy and other laws, and regulatory scrutiny, investigations, actions, fines or penalties, any of which could have a material adverse effect on our financial condition, results of operations, liquidity and cash flows.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Saia’s employees work remotely, which may increase our exposure to cybersecurity risks, including phishing attempts and other cybersecurity attacks and may increase the demand for information technology resources.</w:t>
      </w:r>
    </w:p>
    <w:p>
      <w:pPr>
        <w:spacing w:after="0" w:line="5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A portion of our workforce operates remotely full-time or under hybrid work arrangements, and we provide these employees with expanded remote network access options to enable them to work outside of our buildings and, in some cases, on their own personal devices, which exposes us to increased cybersecurity risks. Such risks include: (i) unauthorized access to sensitive or confidential information due to company or personal devices being used to remotely access, discuss, or transmit confidential information, (ii) increased exposure to social engineering attempts such as phishing and other scams as cybercriminals may, among other things, install malicious software on systems and equipment and access sensitive or confidential information, (iii) increased demand for information technology resources, and (iv) violation of international, federal, or state-specific privacy laws. Although we have measures in place designed to mitigate our exposure to the increased risk of cybersecurity incidents, we cannot ensure that such measures will effectively prevent a cybersecurity incident. Further, as artificial intelligence technology continues to evolve, cybersecurity attacks leveraging artificial intelligence may become more sophisticated, potentially increasing in speed, scale and automation. Though we currently maintain property and cyber insurance, losses due to cybersecurity incidents may not be covered by insurance or may exceed our insurance coverage and may have a material adverse impact on our financial condition, results of operations, liquidity and cash flows.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keep pace with developments in technology could impair our operations or competitive position.</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Our business relies on sophisticated systems and technology to remain competitive. Systems and technologies must be refined, updated and replaced with more advanced systems regularly for us to meet both internal requirements as well as our customer demands and expectations. If we are unable to do so in a timely manner or within reasonable cost parameters, or if we are unable to appropriately and timely train our employees to operate any of these new systems, our business could suffer. We also may not achieve the benefits that we anticipate from any new system or technology and a failure to do so could result in higher than anticipated costs or could impair our results of operations.</w:t>
      </w:r>
    </w:p>
    <w:p>
      <w:pPr>
        <w:spacing w:after="0" w:line="7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Technology and new market entrants may also disrupt the way we and our competitors operate. We expect our customers to continue to demand more sophisticated systems and technology-driven solutions. If we do not pursue technological advances or engage in innovation, or if the new technology doesn’t yield the results we expect, we may be placed at a competitive disadvantage, lose customers, incur higher costs or fail to meet our growth strategy. A failure to successfully pursue technological advances, including artificial intelligence applications could have a material adverse impact on our financial condition, results of operations, liquidity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its use could result in increased costs, reputational harm, competitive harm, cybersecurity risks and legal liability, which could have a material adverse effect on our business.</w:t>
      </w:r>
    </w:p>
    <w:p>
      <w:pPr>
        <w:spacing w:after="0" w:line="5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We incorporate certain artificial intelligence solutions into our business operations, and these applications may become more important in our operations over time. Our competitors or other third parties may incorporate artificial intelligence into their operations more quickly or more successfully than us, which could impair our ability to compete effectively and adversely affect our results of operations. To remain competitive, we may need to increase our investment in artificial intelligence solutions, and we may not be able to adjust pricing to offset the higher costs. Additionally, if the content, analyses, or recommendations that artificial intelligence applications assist in producing are, or are alleged to be, deficient, inaccurate or biased or to violate intellectual property rights of third parties, our financial condition, results of operations, liquidity and cash flows may be adversely affected.</w:t>
      </w:r>
    </w:p>
    <w:p>
      <w:pPr>
        <w:spacing w:after="0" w:line="79"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rapid evolution of artificial intelligence may result in increased cybersecurity incidents. Any such cybersecurity incidents could adversely affect our reputation and results of operations. Artificial intelligence also presents emerging ethical issues and if our use of artificial intelligence becomes controversial, we may experience brand or reputational harm, competitive harm, or legal liability. The rapid evolution of artificial intelligence, including potential government regulation of artificial intelligence and increased cybersecurity risks, will require significant resources to develop, test, implement and maintain our information technology systems to minimize unintended harmful impacts. The failure to effectively utilize artificial intelligence or to respond to cybersecurity threats from the use of artificial intelligence could have a material adverse effect on our financial condition, results of operations, liquidity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of Saia are non-union. The ability of Saia to compete could be impaired if operations were to become unionized.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None of our employees are currently subject to a collective bargaining agreement. We have in the past been the subject of unionization efforts which have been defeated. Our expansion into new geographic territory and our acquisition of additional terminals previously operated by Yellow Corporation and its subsidiaries could increase our overall risk of unionization. There can be no assurance that further unionization efforts will not occur in the future and that such efforts will be defeated. The unionization of our employees could lead to restrictive work rules that could hamper our efforts to improve and sustain operating efficiency and impair our service reputation. A strike or work stoppage could negatively impact our profitability and could damage customer and employee relationships. As such, customers may limit their use of unionized trucking companies because of the threat of strikes and other work stoppages. Unionization of any of our operations could lead to pressure on other employee sectors to unionize. Additionally, an election and bargaining process could divert management’s time and attention from our overall objectives and impose significant expenses. The non-union status of Saia is an important factor in our ability to compete in our markets, and if all or a portion of our workforce becomes unionized it could increase our costs and subject us to workplace rules, which could have a material adverse impact on our financial condition, results of operations, liquidity and cash flows.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new and used revenue equipment may adversely affect our business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Investment in new revenue equipment, including tractors and trailers, is a significant part of our annual capital expenditures. The price of such equipment may increase as a result of inflation, new or higher tariffs, increased demand for or decreased supply of such equipment, increased cost of materials and labor or because of current or future regulations on newly manufactured tractors, such as regulations issued by the Environmental Protection Agency (EPA) and by various state agencies, particularly the California Air Resources Board (CARB), requiring progressive reductions in exhaust emissions and a transition to zero-emission vehicles. Current regulations have increased prices for tractors and maintenance costs and may continue to do so in the future. In addition, as we purchase new revenue equipment as part of our normal replacement cycle each year, we rely on the used equipment market to dispose of our older equipment. Oversupply in the transportation industry, higher maintenance or operating costs associated with older equipment, as well as adverse economic conditions, can negatively impact the demand for used equipment and, therefore, reduce the value we can obtain for our used equipment. If we are unable to sell our used equipment at or above our salvage value, the resulting losses could have a material adverse impact on our financial condition, results of operations, liquidity and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9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Higher costs for or limitations in the availability of suitable real estate have adversely affected and may continue to adversely affect our business operations.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business model is dependent on the cost and availability of terminal facilities. We have experienced higher costs to purchase, lease, build and/or refurbish terminal facilities as a result of inflation and higher demand for and reduced supply of such facilities. Shortages in the availability of suitable real estate or delays in obtaining necessary permits or approvals may result in significant additional costs to purchase, lease, build and/or refurbish necessary facilities, increase our capital expenditures and operating expenses, reduce our revenues, restrict our ability to grow existing markets or expand into new markets and/or prevent us from efficiently serving certain markets. In addition, we may not realize sufficient revenues or profits from our infrastructure investments. These higher costs and limitations in the availability of suitable real estate may adversely affect our financial condition, results of operations, liquidity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disruptions could delay equipment deliveries and could increase costs or reduce operating capacity or expansion.</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do not manufacture any of the equipment or technology hardware used in our business. Tractors and trailers are important sources of capacity for our network operations and network expansion. The production of tractors and trailers could be impacted by manufacturing and component delays and other supply chain disruptions. We could be unable to obtain, or incur delays in the delivery of, equipment necessary for operations, including tractors, trailers and other equipment, as a result of manufacturing delays and supply chain disruptions. These manufacturing delays, supply chain disruptions and shortages could negatively affect our operations, increase our costs and impede our ability to grow and meet customer demand.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trade policy and the impact of tariffs may continue to adversely impact our customers, our industry, and our business.</w:t>
      </w:r>
    </w:p>
    <w:p>
      <w:pPr>
        <w:spacing w:after="0" w:line="229" w:lineRule="exact"/>
        <w:rPr>
          <w:sz w:val="20"/>
          <w:szCs w:val="20"/>
          <w:color w:val="auto"/>
        </w:rPr>
      </w:pPr>
    </w:p>
    <w:p>
      <w:pPr>
        <w:jc w:val="both"/>
        <w:ind w:firstLine="584"/>
        <w:spacing w:after="0" w:line="254" w:lineRule="auto"/>
        <w:rPr>
          <w:sz w:val="20"/>
          <w:szCs w:val="20"/>
          <w:color w:val="auto"/>
        </w:rPr>
      </w:pPr>
      <w:r>
        <w:rPr>
          <w:rFonts w:ascii="Times New Roman" w:cs="Times New Roman" w:eastAsia="Times New Roman" w:hAnsi="Times New Roman"/>
          <w:sz w:val="18"/>
          <w:szCs w:val="18"/>
          <w:color w:val="auto"/>
        </w:rPr>
        <w:t>We transport a significant number of shipments that have either been imported into the U.S. or are destined for export from the U.S. The U.S. government has made significant changes in U.S. trade policy, including the imposition of a baseline tariff on product imports from almost all countries and the potential for higher tariffs on certain other countries. Certain foreign governments either have taken or are threatening to take retaliatory actions in response. These changes in U.S. trade policy and tariffs have decreased demand for our services and have caused uncertainty and volatility in financial markets. Tariffs or other trade restrictions may lead to continuing uncertainty and volatility in U.S. and global financial and economic conditions, declining consumer confidence, inflation or an economic slowdown. These tariffs or other trade restrictions, including corresponding actions taken by other countries in response to U.S. governmental actions or continuing uncertainty around the timing or scale of tariffs, could continue to decrease demand for our services or could increase the cost to us of equipment, goods and materials used in our business, which could have a material adverse effect on our financial condition, results of operations, liquidity and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Capacity and infrastructure constraints could adversely affect service and operating efficiency.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experience capacity constraints due to increased demand for transportation services and decaying highway and energy infrastructure. Poor infrastructure conditions and roadway congestion could slow service times, reduce our operating efficiency and increase maintenance expenses. Some states have taken infrastructure funding measures into their own hands and have explored or instituted road-usage programs, truck-only tolling, congestion pricing, and fuel tax increases. Infrastructure constraints and measures to fund infrastructure improvements could materially adversely affect our financial condition, results of operations, liquidity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our international business operations and relationships.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requirements of the Foreign Corrupt Practices Act of 1977 (FCPA) for our transportation and logistics services to and from various international locations. Failure to comply with the FCPA may result in legal claims against us or subject us to substantial fines. In addition, we face other risks associated with international operations and relationships, which may include restrictive trade policies, anti-corruption law enforcement, the renegotiation of international trade agreements, and imposition of duties, tariffs, taxes or government royalties imposed by domestic or foreign governments, any of which could materially adversely affect our financial condition, results of operations, liquidity and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affected by seasonal factors, harsh weather conditions and disasters caused by climate change.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are subject to seasonal trends and fluctuations common in the transportation industry, which can impact our business in one or more quarterly periods. Severe weather events and natural disasters, such as blizzards, floods, wildfires, hurricanes, tornadoes, storms and earthquakes, could adversely impact our performance by disrupting our operations, damaging or destroying our equipment and facilities, increasing operating and maintenance costs, increasing insurance premiums and reducing the demand for our services. Climate change may increase the severity or frequency of extreme weather conditions and disasters. The Company has previously experienced severe weather events, including hurricanes, floods, wildfires, storms and snowstorms. Similar events in the future could disrupt our facilities or operations. The impact of severe weather events and natural disasters, including those caused by climate change, could materially adversely affect our financial condition, results of operations, liquidity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creditworthiness of our customers or other business partners and their ability to pay for services.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one or more of our customers experiences financial difficulties, including filing for bankruptcy, it may negatively affect our business due to the decreased demand for our services from these customers, or the potential inability of these companies to make full payment on amounts owed to us. Customer bankruptcies also entail the risk of potential recovery by the bankruptcy estate of amounts previously paid to us that are deemed a preference under bankruptcy laws. We do not carry insurance against the risk of customer default on their payment obligations to us or against bankruptcy preference claims. The risks associated with these matters will likely increase in the event of an economic downturn. The loss of revenue from these customers or payment of preference claims could have a material adverse effect on our financial condition, results of operations, liquidity and cash flows.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ongoing cash requirements that could limit our growth and affect profitability if we are unable to generate sufficient cash from operations or obtain sufficient financing on favorable terms.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business is highly capital intensive. Our net capital expenditures for 2025 were approximately $544 million and we anticipate net capital expenditures in 2026 of approximately $350 million to $400 million, subject to the ongoing evaluation of market conditions. We depend on cash flows from operations, borrowings under our credit facilities and operating and finance leases. If we are unable to generate sufficient cash from operations and obtain sufficient financing on favorable terms in the future, we may have to limit our growth, enter into more restrictive or higher cost financing arrangements or operate our tractors and trailers for longer periods prior to replacement, possibly increasing maintenance costs, any of which could have a material adverse effect on our financial condition, results of operations, liquidity and cash flows.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agreements contain financial and other restrictive covenants and we may be unable to comply with these covenants. A default could cause a material adverse effect on our business.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must satisfy certain financial and other restrictive covenants under our credit agreements, including among others, a maximum consolidated net lease adjusted leverage ratio, as defined in our credit agreements. If we fail to comply with any of the covenants under our credit agreements, we will be in default under the agreements which could cause cross-defaults under other financial arrangements. In the event of any such default, if we fail to obtain replacement financing or amendments to or waivers under the financing arrangement, our financing sources could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cease making further advances, cease issuing letters of credit required under our insurance programs and declare our debt to be immediately due and payable. If acceleration occurs, we may have difficulty borrowing sufficient additional funds to refinance the accelerated debt or obtain required letters of credit, or we may need to issue securities which would dilute stock ownership. Even if new financing is made available to us, the terms may not be acceptable. A default under our credit agreements could have a material adverse effect on our financial condition, results of operations, liquidity and cash flows.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significant estimates and assumptions in the preparation of our financial statements. These estimates and assumptions may not be accurate and are subject to change. Our internal controls over financial reporting may not prevent or detect all misstatements in our financial statements.</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generally accepted accounting principles requires our management to make significant estimates and assumptions that affect the reported amounts of assets and liabilities and disclosures of contingent liabilities at the date of the consolidated financial statements, and the reported amounts of income and expense during the reported periods. Our internal controls over financial reporting provide reasonable, not absolute, assurance of accurate financial statements and may not prevent or detect misstatements due to inherent limitations such as human error, information technology system failures, or fraud. Inadequate internal controls or incorrect underlying estimates and assumptions or events that require us to revise our previous estimates or assumptions could have a material adverse effect on our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our key employees, our business could be materially adversely impacted.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depend on the efforts and abilities of our management, and we believe their knowledge would be difficult to replicate. Our success is dependent on our ability to retain our current management team and to recruit, hire, develop and retain highly qualified personnel in the future. Competition for key management is intense, and qualified individuals are in high demand, such that we may incur significant costs to attract and retain them. Other than our Chief Executive Officer, members of our management team do not have employment agreements. Certain of our key employees are subject to non-compete and non-solicitation agreements; however, there is no assurance that such agreements will be enforced as written or that they will be effective to prevent those employees from working for a competitor or soliciting our customers. The loss of the services of any of our key employees could have a material adverse effect on our financial condition, results of operations, liquidity and cash flows. Inadequate succession planning or the unexpected departure of a key employee would require our remaining management team to divert immediate and substantial attention to fulfilling the duties of the departing employee and to seeking a replacement. The inability to adequately fill vacancies on a timely basis could negatively affect our ability to implement our business strategy and thus materially adversely affect our financial condition, results of operations, liquidity and cash flows.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our compensation and benefits could adversely affect our ability to attract and retain qualified employees.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compensation we offer our employees is subject to market conditions that may require increases in employee compensation and benefits, which becomes more likely as a result of higher inflation and as economic conditions improve. We may experience unusual employee turnover by our drivers, dockworkers, maintenance employees and other personnel that would result in operational deterioration. If we are unable to attract and retain enough qualified employees, we could be required to increase our compensation and benefits packages, amend our hiring standards or reduce our operations and face difficulty meeting customer demands, any of which could materially adversely affect our financial condition, results of operations, liquidity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the cost of healthcare benefits could have a negative impact on our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maintain and sponsor competitive health insurance and other benefits for our employees and their dependents to attract and retain our employees. We have incurred higher costs for these benefits, and it is possible that healthcare benefits and administration costs could become cost prohibitive, forcing us to either reduce our benefits program (making it more difficult to attract and retain qualified employees) or pay the higher costs. Either outcome could materially adversely impact our financial condition, results of operations, liquidity and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strong reputation.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corporate reputation and the positive image of our brand are valuable assets. As social media usage increases, our susceptibility to risks related to adverse publicity, whether or not justified, increases. Adverse publicity regarding labor relations, legal matters, cybersecurity and data privacy events, truck accidents, cargo theft, environmental issues and similar matters, even when based on erroneous information, could have a negative impact on our reputation and may result in the loss of customers and our inability to secure new customer relationships. The immediacy of certain social media outlets precludes us from having real-time control over postings related to the Company, whether matters of fact or opinion. Information distributed via social media could result in immediate unfavorable publicity that we do not have the ability to reverse. Unfavorable publicity, regardless of its cause or source, could result in damage to our reputation and adversely impact our financial condition, results of operations, liquidity and cash flows.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may be unsuccessful or result in other risks such as the failure to realize the anticipated benefits of such acquisitions or the disruption of our business due to such acquisitions.</w:t>
      </w:r>
    </w:p>
    <w:p>
      <w:pPr>
        <w:spacing w:after="0" w:line="51"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We may acquire additional businesses and operations in the future. However, there is no assurance that we will be successful in identifying, negotiating, consummating or integrating any future acquisitions. Additionally, we may not realize the anticipated benefits of any future acquisitions. Each acquisition has numerous risks including:</w:t>
      </w:r>
    </w:p>
    <w:p>
      <w:pPr>
        <w:spacing w:after="0" w:line="68"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the operations and personnel of the acquired company or unanticipated costs to support new business lines or separate legal entities;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the assimilation and consolidation of information technology, communications, and other systems, including additional systems training and other labor inefficiencies;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distraction of our management and employees from other opportunities and challenges due to integration issues;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indebtedness or the issuance of additional equity to finance future acquisitions, which could be dilutive to our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customers or employees of acquired companies along with the risk of unionization of employees;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prices we charge certain customers in order to match existing customer pricing in the acquired company’s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tangible and intangible assets and goodwill acquired as a result of acquisitions;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the due diligence processes to identify significant issues with legal, financial, or environmental liabilities and contingencies, among other things.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do not realize the anticipated benefits of an acquisition, if we incur unexpected liabilities with an acquisition, or if the acquired business is not successfully integrated, there could be a material adverse effect on our financial condition, results of operations, liquidity and cash flows.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010101"/>
        </w:rPr>
        <w:t>Litigation and Regulatory Risks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litigation risks that could have a material adverse effect on the operation of our business.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litigation risks regarding a variety of issues, including accidents involving our trucks and employees, workers’ compensation claims, federal and state labor and employment law claims, securities claims, privacy claims, contract claims, environmental liability and other matters. These proceedings may be time-consuming, expensive and disruptive to normal business operations. The defense, settlement or resolution of such matters could result in significant expense and the diversion of our management’s time and attention from the operation of our business. In recent years, several insurance companies have completely stopped offering coverage to trucking companies for automobile liability claims, have significantly reduced the amount of coverage they offer or have significantly raised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as a result of increases in the severity of automobile liability claims and sharply higher costs of settlements and verdicts. This trend could adversely affect our ability to obtain suitable insurance coverage, could significantly increase our cost of obtaining such coverage or could subject us to significant liabilities for which no insurance is in place, which could materially adversely affect our financial condition, results of operations, liquidity and cash flows. Costs we incur to defend or to satisfy a judgment or settle claims may not be covered by insurance or could exceed the amount of that coverage or increase our insurance costs and could have a material adverse effect on our financial condition, results of operations, liquidity and cash flows.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engines in our tractors are subject to emissions-control regulations that could substantially increase operating expenses, and regulations concerning emissions or fuel-efficiency may have a material adverse impact on our business.</w:t>
      </w:r>
    </w:p>
    <w:p>
      <w:pPr>
        <w:spacing w:after="0" w:line="51" w:lineRule="exact"/>
        <w:rPr>
          <w:sz w:val="20"/>
          <w:szCs w:val="20"/>
          <w:color w:val="auto"/>
        </w:rPr>
      </w:pPr>
    </w:p>
    <w:p>
      <w:pPr>
        <w:jc w:val="both"/>
        <w:ind w:firstLine="584"/>
        <w:spacing w:after="0" w:line="258" w:lineRule="auto"/>
        <w:rPr>
          <w:sz w:val="20"/>
          <w:szCs w:val="20"/>
          <w:color w:val="auto"/>
        </w:rPr>
      </w:pPr>
      <w:r>
        <w:rPr>
          <w:rFonts w:ascii="Times New Roman" w:cs="Times New Roman" w:eastAsia="Times New Roman" w:hAnsi="Times New Roman"/>
          <w:sz w:val="18"/>
          <w:szCs w:val="18"/>
          <w:color w:val="auto"/>
        </w:rPr>
        <w:t>Despite the current administration’s rollback of regulations at the federal level, emissions and fuel efficiency standards remain at the state level that could require significant changes in our business. Several states have enacted and may enact in the future legislation relating to engine emissions, trailer regulations, fuel economy, and/or fuel formulation, such as regulations issued by the California Air Resources Board (CARB). CARB regulations apply to both in-state California carriers and carriers outside of California who own or dispatch equipment in the state. CARB has adopted regulations to accelerate large-scale transition in California to zero-emission medium and heavy-duty trucks, including trucks of a type used in our operations in California.</w:t>
      </w:r>
    </w:p>
    <w:p>
      <w:pPr>
        <w:spacing w:after="0" w:line="7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Tractor engines that comply with emission-control regulatory requirements have generally been more expensive, less fuel-efficient and have increased maintenance costs. If we are unable to offset the higher costs associated with this equipment with higher freight rates or improved fuel economy, our financial condition, results of operations, liquidity and cash flows could be materially adversely affected.</w:t>
      </w:r>
    </w:p>
    <w:p>
      <w:pPr>
        <w:spacing w:after="0" w:line="68"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At this point, there are virtually no zero-emissions vehicles widely available that are suitable replacements for current technology used in less-than-truckload operations. In addition, there does not appear to be sufficient infrastructure in place to support an electric vehicle fleet operation throughout our current terminal network. If zero-emission vehicles are not available or not commercially viable for the less-than-truckload market, we may be required to modify or curtail our operations in California or other states that have adopted or may adopt similar regulations. During any transition to zero-emission trucks, due to the mandates on manufacturers limiting diesel engine sales, we may be forced to continue using older model diesel trucks that may require higher maintenance costs or be less reliable. Compliance with EPA, CARB, and other federal and state regulations regarding the transition to utilizing zero-emission vehicles could increase our equipment costs and may have a material adverse effect on our financial condition, results of operations, liquidity and cash flows.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and highly taxed industry. Costs of compliance with or liability for violation of existing or future regulations may adversely affect our business.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DOT and various state agencies exercise broad powers over our business, generally governing such activities as authorization to engage in motor carrier operations, safety and financial reporting. We may also become subject to new or more restrictive regulations imposed by the DOT, the Occupational Safety and Health Administration, the Food and Drug Administration or other authorities relating to engine exhaust emissions, safety performance and measurements, driver hours of service, immigration, drug and alcohol testing, food safety, security, ergonomics, as well as other unforeseen matters. Compliance with such regulations could substantially impair equipment productivity and increase our costs.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Taxes are a significant part of our annual expenses, and we are subject to various federal and state income, payroll, property, sales and other taxes. In addition, various federal and state authorities impose significant operating taxes on the transportation industry, including fuel taxes, tolls, excise and other taxes. There can be no assurance that such taxes will not substantially increase or that new or revised forms of operating taxes or tax laws or regulations, will not be imposed on the industry. Higher tax rates, claims, audits, investigations or legal proceedings involving taxing authorities could have a material adverse effect on our financial condition, results of operations, liquidity and cash flows.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FMCSA rules on motor carrier driver hours of service limit the maximum number of hours a driver may be on duty between mandatory off-duty hours and require driver rest breaks. These rules could result in us not meeting customer demands, upward pressure on driver wages and benefits, underutilization of our truck fleet and/or use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cost purchased transportation which could have a material adverse effect on our financial condition, results of operations, liquidity and cash flows.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operations are subject to a variety of other federal, state and local laws and regulations, including labor and employment, wage and hour and employee benefit laws and regulations, tax, environmental, health and safety, data privacy, anti-trust and securities laws and regulations. Compliance with these laws and regulations is onerous and expensive. New and changing laws and regulations can adversely affect the Company’s business by increasing costs and requiring changes to the Company’s business. New and changing laws and regulations can also create uncertainty about how such laws and regulations will be interpreted and applied. There can be no assurance the Company’s employees, contractors or agents will not violate such laws and regulations or the Company’s policies and procedures. If the Company is found to have violated laws and regulations, it could materially adversely impact our financial condition, results of operations, liquidity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unforeseen costs from new and existing data privacy laws.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is subject to increased legislative and regulatory efforts regarding data protection and transparency in how data is used and stored. State governments have enacted and may enact in the future data protection laws, such as the California Consumer Privacy Act of 2018 as amended and extended by the California Privacy Rights Act in 2020. The reporting requirements imposed by data protection and transparency laws may differ in scope and applicability and may result in conflicting obligations. As a transportation and logistics provider, we collect and process significant amounts of data daily. Monitoring and complying with data protection laws may increase our compliance costs or require alterations to our data handling practices. The increasing scope and complexity and the uncertainty of the interpretation and enforcement of these laws create legal risk. Violations or noncompliance with data protection laws could result in significant liability from governmental or civil actions and negative impacts to our reputation, financial condition, results of operations, liquidity and cash flows.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and regulations. Costs of compliance with or liabilities for violations of existing or future environmental laws and regulations could have a material adverse effect on our business and operations.</w:t>
      </w:r>
    </w:p>
    <w:p>
      <w:pPr>
        <w:spacing w:after="0" w:line="5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Our operations are subject to environmental laws and regulations dealing with the handling of hazardous materials, underground fuel storage tanks and discharge and retention of storm water. We operate in industrial areas where truck terminals and other industrial activities are located and where groundwater or other forms of environmental contamination may have occurred. Under existing law, we could be held responsible for costs related to environmental contamination at, or emanating from, our current and past facilities and at third party waste disposal sites. Our operations involve the risks of fuel spillage or seepage, environmental damage and hazardous waste disposal and costs associated with the leakage or discharge of hazardous materials we transport for our customers, among others. Violations of applicable environmental laws or regulations or spills or other accidents involving hazardous substances have occurred in the past, can occur in the future, and may subject us to cleanup costs, liabilities not covered by insurance, substantial fines or penalties and to civil and criminal liability, any of which could materially adversely affect our financial condition, results of operations, liquidity and cash flows.</w:t>
      </w:r>
    </w:p>
    <w:p>
      <w:pPr>
        <w:spacing w:after="0" w:line="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In addition, there is global scientific consensus that emissions of greenhouse gases (GHG) continue to alter the composition of Earth’s atmosphere in ways that are affecting, and are expected to continue to affect, the global climate. As these climate change concerns become more prevalent, federal, state and local governments and our customers are increasingly sensitive to these issues. Increased awareness and negative publicity regarding greenhouse gas emissions from transportation companies may damage our reputation and could reduce demand for our services. This increased focus may result in new legislation, taxes, regulations and customer requirements, such as limits on vehicle weight and size and restrictions on GHG emissions, which could negatively affect us. In addition, several states, including states where we conduct business, have adopted various GHG disclosure and reduction programs. The EPA and the states could also further regulate GHG emissions. These regulations could increase the costs of replacing and maintaining tractors, and cause us to incur additional taxes and operating costs and capital expenditures to make changes to our operations in order to comply with these regulations. The regulations could also cause delays or disruptions in our operations and could reduce our revenues. We are subject to increasing investor and customer sensitivity to sustainability issues, and we may be subject to additional requirements related to shareholder proposals, customer-led initiatives, or our customers’ efforts to comply with environmental programs. Until the timing, scope, and extent of any future regulation or customer requirements become known, we cannot predict their effect on our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structure, business, or results of operations. We could lose revenue if our customers divert business from us because we have not complied with their sustainability requirements. These costs, changes and loss of revenue could have a material adverse effect on our financial condition, results of operations, liquidity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Compliance Safety Accountability (CSA) program could adversely affect our results of operations and ability to maintain or grow our business.</w:t>
      </w:r>
    </w:p>
    <w:p>
      <w:pPr>
        <w:spacing w:after="0" w:line="121" w:lineRule="exact"/>
        <w:rPr>
          <w:sz w:val="20"/>
          <w:szCs w:val="20"/>
          <w:color w:val="auto"/>
        </w:rPr>
      </w:pPr>
    </w:p>
    <w:p>
      <w:pPr>
        <w:jc w:val="both"/>
        <w:ind w:firstLine="666"/>
        <w:spacing w:after="0" w:line="282" w:lineRule="auto"/>
        <w:rPr>
          <w:sz w:val="20"/>
          <w:szCs w:val="20"/>
          <w:color w:val="auto"/>
        </w:rPr>
      </w:pPr>
      <w:r>
        <w:rPr>
          <w:rFonts w:ascii="Times New Roman" w:cs="Times New Roman" w:eastAsia="Times New Roman" w:hAnsi="Times New Roman"/>
          <w:sz w:val="18"/>
          <w:szCs w:val="18"/>
          <w:color w:val="auto"/>
        </w:rPr>
        <w:t>The CSA program is an enforcement and compliance model required by the FMCSA that assesses a motor carrier’s on-road performance and investigation results for a 24-month period using roadside stops and inspections, resulting in safety and performance ratings.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CSA program evaluations are used to rank carriers and individual drivers and to select carriers for audit and other interventions or enforcement action. If we receive unacceptable CSA program scores, our relationships with our customers or our reputation could be damaged, which could result in decreased demand for our services. The requirements of the CSA program could also shrink the industry’s pool of drivers as those with unfavorable scores could leave the industry. If the Company receives unacceptable CSA program scores or if the CSA program reduces the pool of drivers, our financial condition, results of operations, liquidity and cash flows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potential future changes in accounting and financial practices.</w:t>
      </w:r>
    </w:p>
    <w:p>
      <w:pPr>
        <w:spacing w:after="0" w:line="121" w:lineRule="exact"/>
        <w:rPr>
          <w:sz w:val="20"/>
          <w:szCs w:val="20"/>
          <w:color w:val="auto"/>
        </w:rPr>
      </w:pPr>
    </w:p>
    <w:p>
      <w:pPr>
        <w:jc w:val="both"/>
        <w:ind w:firstLine="666"/>
        <w:spacing w:after="0" w:line="261" w:lineRule="auto"/>
        <w:rPr>
          <w:sz w:val="20"/>
          <w:szCs w:val="20"/>
          <w:color w:val="auto"/>
        </w:rPr>
      </w:pPr>
      <w:r>
        <w:rPr>
          <w:rFonts w:ascii="Times New Roman" w:cs="Times New Roman" w:eastAsia="Times New Roman" w:hAnsi="Times New Roman"/>
          <w:sz w:val="18"/>
          <w:szCs w:val="18"/>
          <w:color w:val="auto"/>
        </w:rPr>
        <w:t>Future changes in accounting standards or practices, and related legal and regulatory interpretations of those changes, may adversely impact public companies in general, the transportation industry or our operations specifically. New accounting standards or requirements could change the way we record revenues, expenses, assets and/or liabilities or could be costly to implement. These types of standards, practices and regulations could have a material adverse impact on our financial position, results of operations, liquidity and cash flows.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010101"/>
        </w:rPr>
        <w:t>Other Risks</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 epidemics, pandemics and similar outbreaks have had, and may continue to have, material adverse effects on the Company’s business, results of operations, financial condition and stock price.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Health epidemics, pandemics and similar outbreaks can have significant and widespread impacts, including material adverse impacts on demand for the Company’s services, the Company’s ability to execute its operating and strategic plans, the Company’s profitability and cost structure, and supply chain disruptions. The extent to which a health epidemic, pandemic or outbreak may impact the Company’s operational and financial performance is uncertain and will depend on many factors outside the Company’s control, including the timing, extent and duration of the health event, governmental responses to the event, the development, availability, effectiveness of vaccines or treatments, the imposition of protective public safety measures, and the impact of the outbreak on the global economy and demand for products and services.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from international conflicts that could adversely impact our business and financial results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International security concerns and conflicts, including those in Russia-Ukraine, Taiwan-China, in the Middle East, and other geopolitical tensions, and potential actions or retaliatory measures taken in respect thereof, have had and could continue to have a material adverse effect on global trade and economic activity. The consequences of such conflicts include embargoes, regional instability, supply chain disruptions, new or higher tariffs, disruptions of global financial markets, reduced access to oil and natural gas and higher energy prices. The extent of a conflict's effect on the global economy cannot be predicted, including the extent to which the conflict may heighten other risks disclosed herein. Ultimately, these or other factors associated with international conflicts could materially adversely affect our financial condition, results of operations, liquidity and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and often contradictory stakeholder expectations regarding environmental and social issues and our failure to meet stakeholder expectations could impact the demand for our services or the price of our stock.</w:t>
      </w:r>
    </w:p>
    <w:p>
      <w:pPr>
        <w:spacing w:after="0" w:line="51"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Companies across all industries, including Saia, are subject to increased scrutiny from stakeholders, including investors, customers, shareholder advocacy groups and governmental entities, concerning environmental matters, such as greenhouse gas emissions, and social issues, such as employment practices and civil rights. These expectations are often contradictory, are evolving and can be difficult to manage. If we are unable to meet these stakeholder expectations, our reputation could suffer resulting in a loss of revenues, we could face litigation or investors may choose not to invest in our stock resulting in a decline in our stock price.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government shutdown or failure to fund government services could impact our operations.</w:t>
      </w:r>
    </w:p>
    <w:p>
      <w:pPr>
        <w:spacing w:after="0" w:line="121"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Our business may be adversely impacted if federal government agencies close or operate at reduced staffing levels during a prolonged government shutdown. We are regulated by several federal agencies, including the Department of Transportation. Our business directly and indirectly relies on federal agencies for permitting, compliance reviews and driver background checks. During a shutdown, FMCSA databases may not be updated and carrier authority applications, safety audits, and compliance reviews can be delayed. State and local commercial driver’s license agencies rely on federal databases and coordination with the DOT. Understaffing or reduced activity at any of these agencies during a shutdown could disrupt our operations. We believe that the government shutdown that commenced on October 1, 2025, did not materially impact our operations; however, a future shutdown may materially impact our business operations.</w:t>
      </w:r>
    </w:p>
    <w:p>
      <w:pPr>
        <w:spacing w:after="0" w:line="81" w:lineRule="exact"/>
        <w:rPr>
          <w:sz w:val="20"/>
          <w:szCs w:val="20"/>
          <w:color w:val="auto"/>
        </w:rPr>
      </w:pPr>
    </w:p>
    <w:p>
      <w:pPr>
        <w:jc w:val="both"/>
        <w:ind w:firstLine="666"/>
        <w:spacing w:after="0" w:line="261" w:lineRule="auto"/>
        <w:rPr>
          <w:sz w:val="20"/>
          <w:szCs w:val="20"/>
          <w:color w:val="auto"/>
        </w:rPr>
      </w:pPr>
      <w:r>
        <w:rPr>
          <w:rFonts w:ascii="Times New Roman" w:cs="Times New Roman" w:eastAsia="Times New Roman" w:hAnsi="Times New Roman"/>
          <w:sz w:val="18"/>
          <w:szCs w:val="18"/>
          <w:color w:val="auto"/>
        </w:rPr>
        <w:t>Delays at major trade hubs and ports can impact demand for our services and the volume of freight in our network. Staffing shortages, or the failure of essential government employees to report for work, can slow freight crossing times at ports of entry. Moreover, if a shutdown results in a pause in disbursing government financial assistance, consumer spending could decrease, which could reduce customer demand for our services. Any government shutdown or failure to fund government services could materially affect our financial condition, results of operations, liquidity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our governing documents and Delaware law could have anti-takeover effects.</w:t>
      </w:r>
    </w:p>
    <w:p>
      <w:pPr>
        <w:spacing w:after="0" w:line="121"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subject to certain Delaware anti-takeover provisions. Under Delaware law, a corporation may not engage in a business combination with any holder of 15 percent or more of its capital stock unless the holder has held the stock for three years or, among other things, the Board of Directors has approved the transaction. Our Board of Directors could rely on Delaware law to prevent or delay an acquisition of the Company.</w:t>
      </w:r>
    </w:p>
    <w:p>
      <w:pPr>
        <w:spacing w:after="0" w:line="68"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certain provisions which may have the effect of delaying, deferring or preventing a change of control of the Company. Such provisions include, for example, a prohibition on stockholder action by written consent, authorization of the Board of Directors to issue preferred stock in series with the terms of each series to be fixed by the Board of Directors, limitations on who may call special stockholder meetings, and advance notice procedures for stockholder proposals and nominations to the Board of Directors. These provisions may inhibit fluctuations in the market price of our common stock that could result from takeover attempts.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raise additional capital in the future, our stockholders’ ownership in the Company could be diluted.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issuance of equity we may undertake in the future could cause the price of our common stock to decline or require us to issue shares at a price that is lower than that paid by holders of our common stock in the past, which would result in those newly issued shares being dilutive. If we obtain funds through a credit facility or through the issuance of debt or preferred securities, these obligations and securities would likely have rights senior to those of common stockholders, which could impair the value of our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Weakness or a loss of confidence in financial markets could adversely impact demand for our services or for our stock.</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Weakness or a loss of confidence in the financial markets or an economic downturn could cause our share price to decline, could cause broader economic downturns, could lower demand for our services, decrease the price we can charge for our services, increase the incidence of customers’ inability to pay their accounts, or increase insolvency of our customers, any of which could materially adversely affect our financial condition, results of operations, liquidity and cash flows.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credit markets, including in the availability and cost of short-term funds for liquidity and letter of credit requirements, may adversely affect our business and our ability to meet long-term commitments.</w:t>
      </w:r>
    </w:p>
    <w:p>
      <w:pPr>
        <w:spacing w:after="0" w:line="51" w:lineRule="exact"/>
        <w:rPr>
          <w:sz w:val="20"/>
          <w:szCs w:val="20"/>
          <w:color w:val="auto"/>
        </w:rPr>
      </w:pPr>
    </w:p>
    <w:p>
      <w:pPr>
        <w:jc w:val="both"/>
        <w:ind w:firstLine="755"/>
        <w:spacing w:after="0" w:line="256" w:lineRule="auto"/>
        <w:rPr>
          <w:sz w:val="20"/>
          <w:szCs w:val="20"/>
          <w:color w:val="auto"/>
        </w:rPr>
      </w:pPr>
      <w:r>
        <w:rPr>
          <w:rFonts w:ascii="Times New Roman" w:cs="Times New Roman" w:eastAsia="Times New Roman" w:hAnsi="Times New Roman"/>
          <w:sz w:val="18"/>
          <w:szCs w:val="18"/>
          <w:color w:val="auto"/>
        </w:rPr>
        <w:t>If internal funds are not available from our operations, we may be required to rely on the capital and credit markets to meet our financial commitments and short-term liquidity needs. Longer term disruptions in the capital and credit markets resulting from economic or political uncertainty, changing or increased regulation, significantly higher interest rates, reduced alternatives or failures of significant financial institutions, among other things, could adversely affect our access to or the cost of liquidity needed for our business. Any disruption could require us to take measures to conserve cash until the markets stabilize or until alternative credit arrangements or other funding for our business needs can be arranged. Such disruptions may have a material adverse effect on our financial condition, results of operations, liquidity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our common stock may fluctuate and could be substantially affected by various factors.</w:t>
      </w:r>
    </w:p>
    <w:p>
      <w:pPr>
        <w:spacing w:after="0" w:line="121"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The price of our common stock on the Nasdaq Global Select Market constantly changes. Such fluctuations may be unrelated to our financial performance. We expect that the market price of our common stock will continue to fluctuate due to a variety of factors, many of which are beyond our control. These factors include, but are not limited to:</w:t>
      </w:r>
    </w:p>
    <w:p>
      <w:pPr>
        <w:spacing w:after="0" w:line="68" w:lineRule="exact"/>
        <w:rPr>
          <w:sz w:val="20"/>
          <w:szCs w:val="20"/>
          <w:color w:val="auto"/>
        </w:rPr>
      </w:pPr>
    </w:p>
    <w:p>
      <w:pPr>
        <w:ind w:left="1420" w:hanging="371"/>
        <w:spacing w:after="0" w:line="282"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earnings, financial or operating performance or liquidity, or those of other companies in our industry;</w:t>
      </w:r>
    </w:p>
    <w:p>
      <w:pPr>
        <w:spacing w:after="0" w:line="53"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or projections of research analysts who follow our stock or the stock of other companies in our industry;</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earnings projections of research analysts who follow our stock;</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capital market conditions, including general market price declines or market volatility;</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Reactions to our regulatory filings and announcements related to our business;</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performance of other companies in our industry;</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government regulators;</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costs and liabilities associated with cyber events;</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any other communicable disease or public health crisis, and the government’s response thereto;</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 our industry or both;</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or trends, concerns and other issues related to us or our industry; and</w:t>
      </w:r>
    </w:p>
    <w:p>
      <w:pPr>
        <w:spacing w:after="0" w:line="117"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stock price, financial condition, results of operations, liquidity and cash flows could be materially adversely affected by an unfavorable outcome resulting from these risks and uncertainties.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Saia maintains cybersecurity processes, technologies and controls to help us assess, identify and manage material risks from cybersecurity threats. These processes, technologies and controls are part of Saia’s overall enterprise risk management process. Our cybersecurity program is based on the National Institute of Standards and Technology Cybersecurity Framework version 2.0, and the National Institute of Standards and Technology Artificial Intelligence Risk Management Framework. The Saia cybersecurity program is designed to ensure that our information systems are effective and are prepared for cybersecurity threats, including through regular oversight and mitigation of internal and external threats.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regularly perform evaluations of our information security program and our information technology infrastructure, including through the use of tools and services for network and endpoint monitoring, vulnerability assessments and penetration testing, among other things. We have implemented security monitoring capabilities designed to alert us to suspicious activity and have an incident response program to restore business operations as quickly and as orderly as possible in the event of a cybersecurity incident.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Saia contracts with third party firms to evaluate our information security program, for continuous system monitoring and threat detection, to gather insights for identifying and assessing material cybersecurity threats, and for potential mitigation assistance. We consider cybersecurity matters when selecting and overseeing our third party service providers and we administer a standardized information gathering questionnaire to evaluate cybersecurity risk in third parties. We seek to require third parties who could pose significant cybersecurity risk to us to be contractually responsible for the risk and to agree to cybersecurity assessments in connection with new vendor engagements and annually thereafter.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Saia has an established cybersecurity and information security awareness training program that includes mandatory annual training and regular communications for our employees regarding cybersecurity threats and methods of mitigation. The annual cybersecurity training consists of threat avoidance when working remote, proper password construction techniques, identifying and reporting suspicious activity, social engineering and insider threats. Additionally, we have implemented a regular phishing assessment that provides feedback and additional training to enhance the annual training program. Our information technology professionals also receive additional training related to their position.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can be no guarantee that our cybersecurity processes, technologies and controls will be effective. Although our risk factors include further detail about the material cybersecurity risks we face, including the evolving risks from artificial intelligence, we believe that risks from prior cybersecurity threats, including as a result of any previous cybersecurity incidents, have not materially affected our business to date. We can provide no assurance that there will not be cybersecurity incidents in the future or that they will not materially affect us, including our business strategy, results of operations or financial condition.</w:t>
      </w:r>
    </w:p>
    <w:p>
      <w:pPr>
        <w:spacing w:after="0" w:line="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For more information about the cybersecurity risks we face, see the risk factors, including those entitled </w:t>
      </w:r>
      <w:r>
        <w:rPr>
          <w:rFonts w:ascii="Times New Roman" w:cs="Times New Roman" w:eastAsia="Times New Roman" w:hAnsi="Times New Roman"/>
          <w:sz w:val="18"/>
          <w:szCs w:val="18"/>
          <w:i w:val="1"/>
          <w:iCs w:val="1"/>
          <w:color w:val="auto"/>
        </w:rPr>
        <w:t>“We rely heavily on technology to operate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business, including through the use of third-party applications, and cybersecurity threats or other disruptions to our technology infrastructure could harm our business or reputation”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"We use artificial intelligence in our business, and its use could result in reputational harm, competitive harm, cybersecurity risks and legal liability, which could have a material adverse effect on our business" </w:t>
      </w:r>
      <w:r>
        <w:rPr>
          <w:rFonts w:ascii="Times New Roman" w:cs="Times New Roman" w:eastAsia="Times New Roman" w:hAnsi="Times New Roman"/>
          <w:sz w:val="18"/>
          <w:szCs w:val="18"/>
          <w:color w:val="auto"/>
        </w:rPr>
        <w:t>in Item 1A. Risk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day-to-day assessment and management of cybersecurity risks. Saia’s Director of Information Technology Security, who reports to the Executive Vice President and Chief Information Officer, has primary oversight of our cybersecurity risk management and strategy processes. The Director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Technology Security has served in information security roles since 2001 and led the information security function for a large health care system prior to joining Saia in 2021. He has a Bachelor of Science degree in Information Technology with a Concentration in Information Assurance and Security.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Director of Information Technology Security assesses our cybersecurity readiness through internal assessment tools as well as third-party control testing, vulnerability assessments and evaluation against industry standards. We maintain compliance structures that are designed to elevate issues relating to cybersecurity to our Director of Information Technology Security and to our Executive Vice President and Chief Information Officer.</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has oversight responsibility for Saia’s strategic and operational risks. Although the Board has delegated oversight responsibility for certain risks to its committees, the Board has determined that oversight for cybersecurity should remain with the full Board. The Board regularly receives reports from the Executive Vice President and Chief Information Officer concerning the Company’s cybersecurity risk management and strategies and related processes, technologies and controls.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Saia is headquartered in Johns Creek, Georgia and has additional general offices in Houma, Louisiana and Boise, Idaho. At December 31, 2025, Saia owned 135 service facilities, including the Houma, Louisiana general office, and leased 82 service facilities, including the Johns Creek, Georgia corporate office, the Boise, Idaho general office and the Dallas, Texas warehouse. At December 31, 2025, Saia owned 62 percent of its service facilities, accounting for 72 percent of its door capacity. This mix follows Saia’s strategy of seeking to own strategically-located facilities that are integral to its operations and lease service facilities in smaller markets to allow for more flexibility. As of December 31, 2025, Saia owned approximately 7,700 tractors and 26,500 trailers, inclusive of trailers acquired with finance leases.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Top 20 Saia Terminals by Number of Doors at December 31, 2025</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Own/Lease</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Doors</w:t>
            </w:r>
          </w:p>
        </w:tc>
        <w:tc>
          <w:tcPr>
            <w:tcW w:w="120" w:type="dxa"/>
            <w:vAlign w:val="bottom"/>
          </w:tcPr>
          <w:p>
            <w:pPr>
              <w:spacing w:after="0"/>
              <w:rPr>
                <w:sz w:val="24"/>
                <w:szCs w:val="24"/>
                <w:color w:val="auto"/>
              </w:rPr>
            </w:pP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Dallas, TX</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Harrisburg, PA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Houston, TX</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Atlanta, GA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Memphis, TN</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Salt Lake City, UT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Fontana, CA</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Buford, GA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Indianapolis, IN</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Chicago, IL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Garland, TX</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Edwardsville, KS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Phoenix, AZ</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Richmond, VA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Nashville, TN</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Cleveland, OH</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Charlotte, NC</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Kansas City, MO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0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Newburgh, NY</w:t>
            </w:r>
          </w:p>
        </w:tc>
        <w:tc>
          <w:tcPr>
            <w:tcW w:w="132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900" w:type="dxa"/>
            <w:vAlign w:val="bottom"/>
            <w:gridSpan w:val="3"/>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Newark, NJ</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that arise in the ordinary course of its business. The Company believes that adequate provisions for resolution of all contingencies, claims and pending litigation have been made for probable and estimable losses and that the ultimate outcome of these actions will not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its financial condition but could have a material adverse effect on its results of operations in a given quarter or annual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6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Stock Information</w:t>
      </w:r>
    </w:p>
    <w:p>
      <w:pPr>
        <w:ind w:left="520"/>
        <w:spacing w:after="0"/>
        <w:rPr>
          <w:sz w:val="20"/>
          <w:szCs w:val="20"/>
          <w:color w:val="auto"/>
        </w:rPr>
      </w:pPr>
      <w:r>
        <w:rPr>
          <w:rFonts w:ascii="Times New Roman" w:cs="Times New Roman" w:eastAsia="Times New Roman" w:hAnsi="Times New Roman"/>
          <w:sz w:val="18"/>
          <w:szCs w:val="18"/>
          <w:color w:val="auto"/>
        </w:rPr>
        <w:t>Saia’s common stock is listed under the symbol “SAIA” on the Nasdaq Global Select Market.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February 2, 2026, there were 632 holders of record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firstLine="666"/>
        <w:spacing w:after="0" w:line="282" w:lineRule="auto"/>
        <w:rPr>
          <w:sz w:val="20"/>
          <w:szCs w:val="20"/>
          <w:color w:val="auto"/>
        </w:rPr>
      </w:pPr>
      <w:r>
        <w:rPr>
          <w:rFonts w:ascii="Times New Roman" w:cs="Times New Roman" w:eastAsia="Times New Roman" w:hAnsi="Times New Roman"/>
          <w:sz w:val="18"/>
          <w:szCs w:val="18"/>
          <w:color w:val="auto"/>
        </w:rPr>
        <w:t>We have not paid a cash dividend on our common stock. Any payment of dividends in the future is dependent upon our financial condition, capital requirements, earnings, cash flow and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20" w:type="dxa"/>
            <w:vAlign w:val="bottom"/>
            <w:tcBorders>
              <w:top w:val="single" w:sz="8" w:color="auto"/>
            </w:tcBorders>
          </w:tcPr>
          <w:p>
            <w:pPr>
              <w:spacing w:after="0"/>
              <w:rPr>
                <w:sz w:val="10"/>
                <w:szCs w:val="10"/>
                <w:color w:val="auto"/>
              </w:rPr>
            </w:pPr>
          </w:p>
        </w:tc>
        <w:tc>
          <w:tcPr>
            <w:tcW w:w="40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 Total Number of</w:t>
            </w:r>
          </w:p>
        </w:tc>
        <w:tc>
          <w:tcPr>
            <w:tcW w:w="1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 Maximum Number (or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460" w:type="dxa"/>
            <w:vAlign w:val="bottom"/>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 Average</w:t>
            </w:r>
          </w:p>
        </w:tc>
        <w:tc>
          <w:tcPr>
            <w:tcW w:w="3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 Units) that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4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3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73"/>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FF0FF"/>
          </w:tcPr>
          <w:p>
            <w:pPr>
              <w:spacing w:after="0"/>
              <w:rPr>
                <w:sz w:val="20"/>
                <w:szCs w:val="20"/>
                <w:color w:val="auto"/>
              </w:rPr>
            </w:pPr>
            <w:r>
              <w:rPr>
                <w:rFonts w:ascii="Times New Roman" w:cs="Times New Roman" w:eastAsia="Times New Roman" w:hAnsi="Times New Roman"/>
                <w:sz w:val="18"/>
                <w:szCs w:val="18"/>
                <w:color w:val="auto"/>
              </w:rPr>
              <w:t>October 1, 2025 through</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spacing w:after="0"/>
              <w:rPr>
                <w:sz w:val="18"/>
                <w:szCs w:val="18"/>
                <w:color w:val="auto"/>
              </w:rPr>
            </w:pPr>
          </w:p>
        </w:tc>
        <w:tc>
          <w:tcPr>
            <w:tcW w:w="460" w:type="dxa"/>
            <w:vAlign w:val="bottom"/>
            <w:shd w:val="clear" w:color="auto" w:fill="CFF0FF"/>
          </w:tcPr>
          <w:p>
            <w:pPr>
              <w:spacing w:after="0"/>
              <w:rPr>
                <w:sz w:val="18"/>
                <w:szCs w:val="18"/>
                <w:color w:val="auto"/>
              </w:rPr>
            </w:pPr>
          </w:p>
        </w:tc>
        <w:tc>
          <w:tcPr>
            <w:tcW w:w="98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380" w:type="dxa"/>
            <w:vAlign w:val="bottom"/>
            <w:shd w:val="clear" w:color="auto" w:fill="CFF0FF"/>
          </w:tcPr>
          <w:p>
            <w:pPr>
              <w:spacing w:after="0"/>
              <w:rPr>
                <w:sz w:val="18"/>
                <w:szCs w:val="18"/>
                <w:color w:val="auto"/>
              </w:rPr>
            </w:pPr>
          </w:p>
        </w:tc>
        <w:tc>
          <w:tcPr>
            <w:tcW w:w="146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1780" w:type="dxa"/>
            <w:vAlign w:val="bottom"/>
            <w:shd w:val="clear" w:color="auto" w:fill="CFF0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October 31, 2025</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gridSpan w:val="2"/>
            <w:shd w:val="clear" w:color="auto" w:fill="CFF0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November 1, 2025 through</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30,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$259.44</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FF0FF"/>
          </w:tcPr>
          <w:p>
            <w:pPr>
              <w:spacing w:after="0"/>
              <w:rPr>
                <w:sz w:val="20"/>
                <w:szCs w:val="20"/>
                <w:color w:val="auto"/>
              </w:rPr>
            </w:pPr>
            <w:r>
              <w:rPr>
                <w:rFonts w:ascii="Times New Roman" w:cs="Times New Roman" w:eastAsia="Times New Roman" w:hAnsi="Times New Roman"/>
                <w:sz w:val="18"/>
                <w:szCs w:val="18"/>
                <w:color w:val="auto"/>
              </w:rPr>
              <w:t>December 1, 2025 through</w:t>
            </w:r>
          </w:p>
        </w:tc>
        <w:tc>
          <w:tcPr>
            <w:tcW w:w="120" w:type="dxa"/>
            <w:vAlign w:val="bottom"/>
            <w:shd w:val="clear" w:color="auto" w:fill="CFF0FF"/>
          </w:tcPr>
          <w:p>
            <w:pPr>
              <w:spacing w:after="0"/>
              <w:rPr>
                <w:sz w:val="18"/>
                <w:szCs w:val="18"/>
                <w:color w:val="auto"/>
              </w:rPr>
            </w:pPr>
          </w:p>
        </w:tc>
        <w:tc>
          <w:tcPr>
            <w:tcW w:w="136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380" w:type="dxa"/>
            <w:vAlign w:val="bottom"/>
            <w:shd w:val="clear" w:color="auto" w:fill="CFF0FF"/>
          </w:tcPr>
          <w:p>
            <w:pPr>
              <w:spacing w:after="0"/>
              <w:rPr>
                <w:sz w:val="18"/>
                <w:szCs w:val="18"/>
                <w:color w:val="auto"/>
              </w:rPr>
            </w:pPr>
          </w:p>
        </w:tc>
        <w:tc>
          <w:tcPr>
            <w:tcW w:w="1680" w:type="dxa"/>
            <w:vAlign w:val="bottom"/>
            <w:gridSpan w:val="2"/>
            <w:vMerge w:val="restart"/>
            <w:shd w:val="clear" w:color="auto" w:fill="CFF0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shd w:val="clear" w:color="auto" w:fill="CFF0FF"/>
          </w:tcPr>
          <w:p>
            <w:pPr>
              <w:spacing w:after="0"/>
              <w:rPr>
                <w:sz w:val="18"/>
                <w:szCs w:val="18"/>
                <w:color w:val="auto"/>
              </w:rPr>
            </w:pPr>
          </w:p>
        </w:tc>
        <w:tc>
          <w:tcPr>
            <w:tcW w:w="1360" w:type="dxa"/>
            <w:vAlign w:val="bottom"/>
            <w:vMerge w:val="continue"/>
            <w:shd w:val="clear" w:color="auto" w:fill="CFF0FF"/>
          </w:tcPr>
          <w:p>
            <w:pPr>
              <w:spacing w:after="0"/>
              <w:rPr>
                <w:sz w:val="18"/>
                <w:szCs w:val="18"/>
                <w:color w:val="auto"/>
              </w:rPr>
            </w:pPr>
          </w:p>
        </w:tc>
        <w:tc>
          <w:tcPr>
            <w:tcW w:w="460" w:type="dxa"/>
            <w:vAlign w:val="bottom"/>
            <w:vMerge w:val="continue"/>
            <w:shd w:val="clear" w:color="auto" w:fill="CFF0FF"/>
          </w:tcPr>
          <w:p>
            <w:pPr>
              <w:spacing w:after="0"/>
              <w:rPr>
                <w:sz w:val="18"/>
                <w:szCs w:val="18"/>
                <w:color w:val="auto"/>
              </w:rPr>
            </w:pPr>
          </w:p>
        </w:tc>
        <w:tc>
          <w:tcPr>
            <w:tcW w:w="104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gridSpan w:val="2"/>
            <w:vMerge w:val="continue"/>
            <w:shd w:val="clear" w:color="auto" w:fill="CFF0FF"/>
          </w:tcPr>
          <w:p>
            <w:pPr>
              <w:spacing w:after="0"/>
              <w:rPr>
                <w:sz w:val="18"/>
                <w:szCs w:val="18"/>
                <w:color w:val="auto"/>
              </w:rPr>
            </w:pPr>
          </w:p>
        </w:tc>
        <w:tc>
          <w:tcPr>
            <w:tcW w:w="1780" w:type="dxa"/>
            <w:vAlign w:val="bottom"/>
            <w:shd w:val="clear" w:color="auto" w:fill="CFF0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CFF0FF"/>
          </w:tcPr>
          <w:p>
            <w:pPr>
              <w:spacing w:after="0" w:line="20" w:lineRule="exact"/>
              <w:rPr>
                <w:sz w:val="1"/>
                <w:szCs w:val="1"/>
                <w:color w:val="auto"/>
              </w:rPr>
            </w:pPr>
          </w:p>
        </w:tc>
        <w:tc>
          <w:tcPr>
            <w:tcW w:w="4000" w:type="dxa"/>
            <w:vAlign w:val="bottom"/>
            <w:shd w:val="clear" w:color="auto" w:fill="CFF0FF"/>
          </w:tcPr>
          <w:p>
            <w:pPr>
              <w:spacing w:after="0" w:line="20" w:lineRule="exact"/>
              <w:rPr>
                <w:sz w:val="1"/>
                <w:szCs w:val="1"/>
                <w:color w:val="auto"/>
              </w:rPr>
            </w:pPr>
          </w:p>
        </w:tc>
        <w:tc>
          <w:tcPr>
            <w:tcW w:w="120" w:type="dxa"/>
            <w:vAlign w:val="bottom"/>
            <w:shd w:val="clear" w:color="auto" w:fill="CFF0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shd w:val="clear" w:color="auto" w:fill="CFF0FF"/>
          </w:tcPr>
          <w:p>
            <w:pPr>
              <w:spacing w:after="0" w:line="20" w:lineRule="exact"/>
              <w:rPr>
                <w:sz w:val="1"/>
                <w:szCs w:val="1"/>
                <w:color w:val="auto"/>
              </w:rPr>
            </w:pPr>
          </w:p>
        </w:tc>
        <w:tc>
          <w:tcPr>
            <w:tcW w:w="980" w:type="dxa"/>
            <w:vAlign w:val="bottom"/>
            <w:shd w:val="clear" w:color="auto" w:fill="CFF0FF"/>
          </w:tcPr>
          <w:p>
            <w:pPr>
              <w:spacing w:after="0" w:line="20" w:lineRule="exact"/>
              <w:rPr>
                <w:sz w:val="1"/>
                <w:szCs w:val="1"/>
                <w:color w:val="auto"/>
              </w:rPr>
            </w:pPr>
          </w:p>
        </w:tc>
        <w:tc>
          <w:tcPr>
            <w:tcW w:w="60" w:type="dxa"/>
            <w:vAlign w:val="bottom"/>
            <w:shd w:val="clear" w:color="auto" w:fill="CFF0FF"/>
          </w:tcPr>
          <w:p>
            <w:pPr>
              <w:spacing w:after="0" w:line="20" w:lineRule="exact"/>
              <w:rPr>
                <w:sz w:val="1"/>
                <w:szCs w:val="1"/>
                <w:color w:val="auto"/>
              </w:rPr>
            </w:pPr>
          </w:p>
        </w:tc>
        <w:tc>
          <w:tcPr>
            <w:tcW w:w="380" w:type="dxa"/>
            <w:vAlign w:val="bottom"/>
            <w:shd w:val="clear" w:color="auto" w:fill="CFF0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F"/>
          </w:tcPr>
          <w:p>
            <w:pPr>
              <w:spacing w:after="0" w:line="20" w:lineRule="exact"/>
              <w:rPr>
                <w:sz w:val="1"/>
                <w:szCs w:val="1"/>
                <w:color w:val="auto"/>
              </w:rPr>
            </w:pPr>
          </w:p>
        </w:tc>
        <w:tc>
          <w:tcPr>
            <w:tcW w:w="1780" w:type="dxa"/>
            <w:vAlign w:val="bottom"/>
            <w:shd w:val="clear" w:color="auto" w:fill="CFF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-170815</wp:posOffset>
            </wp:positionV>
            <wp:extent cx="291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400" w:right="440" w:hanging="392"/>
        <w:spacing w:after="0" w:line="261"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purchased by the Saia, Inc. Executive Capital Accumulation Plan are open market purchases. For more information on the Saia, Inc. Executive Capital Accumulation Plan, see the Registration Statement on Form S-8 (No. 333-155805) filed on December 1, 2008.</w:t>
      </w: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Saia, Inc. Executive Capital Accumulation Plan had no sales of Saia stock during the period of October 1, 2025 through October 31, 2025.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Saia, Inc. Executive Capital Accumulation Plan had no sales of Saia stock during the period of November 1, 2025 through November 30, 2025.</w:t>
      </w:r>
    </w:p>
    <w:p>
      <w:pPr>
        <w:spacing w:after="0" w:line="9" w:lineRule="exact"/>
        <w:rPr>
          <w:rFonts w:ascii="Times New Roman" w:cs="Times New Roman" w:eastAsia="Times New Roman" w:hAnsi="Times New Roman"/>
          <w:sz w:val="18"/>
          <w:szCs w:val="18"/>
          <w:color w:val="auto"/>
        </w:rPr>
      </w:pPr>
    </w:p>
    <w:p>
      <w:pPr>
        <w:ind w:left="400" w:right="80" w:hanging="392"/>
        <w:spacing w:after="0" w:line="260"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Saia, Inc. Executive Capital Accumulation Plan sold 460 shares of Saia stock at an average price of $325.36 per share on the open market during the period of December 1, 2025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21170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graph below compares the cumulative five year total stockholder return on Saia, Inc. common stock relative to the cumulative total stockholder returns of the NASDAQ Transportation Index and a customized peer group of eleven companies. Individual companies within the custom peer group are listed below.</w:t>
      </w:r>
    </w:p>
    <w:p>
      <w:pPr>
        <w:spacing w:after="0" w:line="68"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An investment of $100 (with reinvestment of all dividends) is assumed to have been made in our common stock, in each index and in each of the companies in the peer group on December 31, 2020 and its relative performance is tracked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5349240" cy="4440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716"/>
        <w:spacing w:after="0" w:line="266" w:lineRule="auto"/>
        <w:rPr>
          <w:sz w:val="20"/>
          <w:szCs w:val="20"/>
          <w:color w:val="auto"/>
        </w:rPr>
      </w:pPr>
      <w:r>
        <w:rPr>
          <w:rFonts w:ascii="Times New Roman" w:cs="Times New Roman" w:eastAsia="Times New Roman" w:hAnsi="Times New Roman"/>
          <w:sz w:val="18"/>
          <w:szCs w:val="18"/>
          <w:color w:val="auto"/>
        </w:rPr>
        <w:t>Companies included in the peer group are: ArcBest Corp., Hub Group Inc., J. B. Hunt Transport Services Inc., Knight-Swift Transportation Holdings Inc., Landstar System Inc., Old Dominion Freight Line Inc., Saia, Inc., Schneider National Inc., TFI International Inc., Werner Enterprises Inc. and XPO Inc.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Cumulative Total Return</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00" w:type="dxa"/>
            <w:vAlign w:val="bottom"/>
            <w:vMerge w:val="restart"/>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Ending</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0" w:type="dxa"/>
            <w:vAlign w:val="bottom"/>
          </w:tcPr>
          <w:p>
            <w:pPr>
              <w:spacing w:after="0"/>
              <w:rPr>
                <w:sz w:val="1"/>
                <w:szCs w:val="1"/>
                <w:color w:val="auto"/>
              </w:rPr>
            </w:pPr>
          </w:p>
        </w:tc>
      </w:tr>
      <w:tr>
        <w:trPr>
          <w:trHeight w:val="209"/>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Saia, Inc.</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Transportation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Peer Group</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0" w:type="dxa"/>
            <w:vAlign w:val="bottom"/>
          </w:tcPr>
          <w:p>
            <w:pPr>
              <w:spacing w:after="0"/>
              <w:rPr>
                <w:sz w:val="1"/>
                <w:szCs w:val="1"/>
                <w:color w:val="auto"/>
              </w:rPr>
            </w:pPr>
          </w:p>
        </w:tc>
      </w:tr>
      <w:tr>
        <w:trPr>
          <w:trHeight w:val="864"/>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generally discusses our 2025 and 2024 results and year-to-year comparisons between 2025 and 2024. Discussions of our 2023 results and year-to-year comparisons between 2024 and 2023 that are not included in this Annual Report on Form 10-K can be found in “Management’s Discussion and Analysis of Financial Condition and Results of Operations” in Part II, Item 7 of our Annual Report on Form 10-K for the fiscal year ended December 31, 2024, which was filed with the Securities and Exchange Commission on February 24,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Securities and Exchange Commission (the SEC) encourages companies to disclose forward-looking information so that investors can better understand the future prospects of a company and make informed investment decisions. This Annual Report on Form 10-K, including “Management’s Discussion and Analysis of Financial Condition and Results of Operations,” contains these types of statements, which are forward-looking within the meaning of the Private Securities Litigation Reform Act of 1995. Words such as “anticipate,” “estimate,” “expect,” “project,” “intend,” “may,” “plan,” “predict,” “believe,” “should,” “potential” and similar words or expressions are intended to identify forward-looking statements. Investors should not place undue reliance on forward-looking statements, and the Company undertakes no obligation to publicly update or revise any forward-looking statements, except as otherwise required by applicable law. All forward-looking statements reflect the present expectation of future events of our management as of the date of this Annual Report on Form 10-K and are subject to a number of important factors, risks, uncertainties and assumptions that could cause actual results to differ materially from those described in any forward-looking statements. These factors, risks, uncertainties and assumptions include, but are not limited to, the following:</w:t>
      </w:r>
    </w:p>
    <w:p>
      <w:pPr>
        <w:spacing w:after="0" w:line="8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downturns or inflationary periods in the business cycle;</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within a highly competitive industry and the adverse impact from downward pricing pressures, including in connection with fuel surcharges, and other factors;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external factors largely out of our control;</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availability of qualified drivers, dock workers, mechanics and other employees, purchased transportation and fuel;</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increases in expenses and corresponding reductions of profitability;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availability of diesel fuel and fuel surcharges;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availability of insurance coverage and claims expenses and other expense volatility, including for personal injury, cargo loss and damage, workers’ compensation, employment and group health plan claims;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the strategy to expand our service geography;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liabilities resulting from the acquisition of real estate assets;</w:t>
      </w:r>
    </w:p>
    <w:p>
      <w:pPr>
        <w:spacing w:after="0" w:line="6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from the disruption in or failure of our technology or equipment essential to our operations, including as a result of cyber incidents, security breaches, malware or ransomware attacks;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remote work, including increased risk of related cybersecurity incidents;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keep pace with technological developments;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costs arising from the use of artificial intelligence;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 including the adverse impact should a portion of our workforce become unionized;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availability and resale value of real property and revenue equipment;</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 and delays on new equipment delivery;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and the impact of tariffs;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highway infrastructure constraints;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international business operations and relationships;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factors, harsh weather and disasters caused by climate change;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line="3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of our customers and their ability to pay for services;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capital and uncertainty of the credit markets;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defaults under our debt agreements, including violation of financial covenants;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and changes to estimates and assumptions used in preparing our financial statements;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employees;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turnover from changes to compensation and benefits or market factors;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healthcare benefits;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from adverse publicity, including from the use of or impact from social media;</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acquisition synergies or disruption to our business due to such acquisitions;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and class action lawsuits arising from the operation of our business, including the possibility of claims or judgments in excess of our insurance coverages or that result in increases in the cost of insurance coverage or that preclude us from obtaining adequate insurance coverage in the future;</w:t>
      </w:r>
    </w:p>
    <w:p>
      <w:pPr>
        <w:spacing w:after="0" w:line="1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higher corporate taxes and new regulations, including with respect to climate change, employment and labor law, healthcare and securities regulation;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from new and existing data privacy laws;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governmental regulations, including hours of service and licensing compliance for drivers, engine emissions, the Compliance, Safety, Accountability (CSA) initiative, regulations of the Food and Drug Administration and Homeland Security, and healthcare and environmental regulations;</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financial standards or practices;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conflicts and geopolitical instability;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stakeholder expectations regarding environmental and social issues;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shutdown or failure to fund services;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governing documents and Delaware law that may have anti-takeover effects;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equity that would dilute stock ownership;</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disruption or loss of confidence in financial or credit markets;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operational and legal risks and uncertainties detailed from time to time in the Company’s SEC filings.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factors and risks are described in Part I, Item 1A. “Risk Factors” of this Annual Report on Form 10-K.</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and other factors, no assurance can be given as to our future results and achievements. Accordingly, a forward-looking statement is neither a prediction nor a guarantee of future events or circumstances and those future events or circumstances may not occur. You should not place undue reliance on the forward-looking statements, which speak only as of the date of this Form 10-K. We are under no obligation, and we expressly disclaim any obligation, to update or alter any forward-looking statements, whether as a result of new information, future events or otherwise, except as otherwise required by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business is closely correlated with non-service sectors of the general economy. Our strategy is to improve profitability by increasing revenue per shipment while growing shipment volumes. Components of this strategy include building density within our existing network and expanding our geographical footprint and terminal infrastructure to support profitable growth and strengthen our customer value proposition over time. The Company’s operations are labor intensive, capital intensive and service sensitive. We continuously seek opportunities to improve safety performance, cost efficiency and asset utilization - particularly with respect to tractors and trailers. Pricing initiatives have contributed positively to profitability. The Company continues to execute targeted sales and marketing programs along with actions designed to align our cost structure with volumes and improve customer satisfaction.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Technology continues to be an important investment as we work to improve the customer experience, advance operational efficiency and support the Company's brand and service quality.</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operating revenue increased by 0.8 percent in 2025 compared to 2024. The increase was a result of increased revenue per shipment, including fuel surcharge, due to pricing actions and truckload volume generated through our logistics business. Pricing actions, which included 5.9 and 7.9 percent general rate increases on October 1, 2025 and October 21, 2024, respectively, for customers subject to general rate increases, were largely offset by slightly lower shipment volumes.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Consolidated operating income decreased to $352.2 million for 2025 compared to $482.2 million in 2024. The decrease in 2025 operating income resulted primarily from increases in salaries, wages and benefits, including group health insurance costs, depreciation expense and claims and insurance costs. These increases were partially offset by increased revenue of $25.2 million, year over year.</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generated $595.0 million in net cash provided by operating activities in 2025 versus $583.7 million in 2024. The Company used $552.5 million of net cash in investing activities during 2025 compared to $1,035.9 million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describes the principal factors affecting the results of operations, liquidity and capital resources, as well as the critical accounting policies of Saia, Inc. and its wholly-owned subsidiaries (together, the Company or Saia). This discussion should be read in conjunction with the accompanying audited consolidated financial statements which include additional information about our significant accounting policies, practices and the transactions that underlie our financial results.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Saia is a transportation company headquartered in Johns Creek, Georgia that provides less-than-truckload (LTL) services through a single integrated organization. While approximately 97% of its revenue is derived from transporting LTL shipments across the United States, the Company also offers customers a wide range of other value-added services, including brokered truckload and expedited transportation and other logistics services across North America.</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business is closely correlated with non-service sectors of the general economy. Our business also is impacted by a number of other factors and risks as discussed under “Cautionary Note Regarding Forward-Looking Statements” and Part I, Item 1A., “Risk Factors.” The key factors that affect our operating results are the volumes of shipments transported through our network, as measured by our average daily shipments and tonnage; the prices we obtain for our services, as measured by revenue per shipment and revenue per hundredweight (a measure of yield), whether including or excluding fuel surcharge revenue; our ability to manage our cost structure for capital expenditures and operating expenses such as salaries, wages and benefits; purchased transportation; claims and insurance expense; fuel and maintenance; and our ability to match operating costs to shifting volume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Results of Operations and Operating Statistics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ratios, workdays, revenue per hundredweight,</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revenue per shipment, pounds per shipment and length of haul)</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5"/>
        </w:trPr>
        <w:tc>
          <w:tcPr>
            <w:tcW w:w="6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80" w:type="dxa"/>
            <w:vAlign w:val="bottom"/>
          </w:tcPr>
          <w:p>
            <w:pPr>
              <w:spacing w:after="0"/>
              <w:rPr>
                <w:sz w:val="16"/>
                <w:szCs w:val="16"/>
                <w:color w:val="auto"/>
              </w:rPr>
            </w:pPr>
          </w:p>
        </w:tc>
      </w:tr>
      <w:tr>
        <w:trPr>
          <w:trHeight w:val="196"/>
        </w:trPr>
        <w:tc>
          <w:tcPr>
            <w:tcW w:w="6100" w:type="dxa"/>
            <w:vAlign w:val="bottom"/>
          </w:tcPr>
          <w:p>
            <w:pPr>
              <w:spacing w:after="0"/>
              <w:rPr>
                <w:sz w:val="17"/>
                <w:szCs w:val="17"/>
                <w:color w:val="auto"/>
              </w:rPr>
            </w:pPr>
          </w:p>
        </w:tc>
        <w:tc>
          <w:tcPr>
            <w:tcW w:w="14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280" w:type="dxa"/>
            <w:vAlign w:val="bottom"/>
          </w:tcPr>
          <w:p>
            <w:pPr>
              <w:spacing w:after="0"/>
              <w:rPr>
                <w:sz w:val="17"/>
                <w:szCs w:val="17"/>
                <w:color w:val="auto"/>
              </w:rPr>
            </w:pPr>
          </w:p>
        </w:tc>
      </w:tr>
      <w:tr>
        <w:trPr>
          <w:trHeight w:val="42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$3,234,286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$3,209,074</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610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4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740" w:type="dxa"/>
            <w:vAlign w:val="bottom"/>
            <w:shd w:val="clear" w:color="auto" w:fill="CFF0FF"/>
          </w:tcPr>
          <w:p>
            <w:pPr>
              <w:spacing w:after="0"/>
              <w:rPr>
                <w:sz w:val="18"/>
                <w:szCs w:val="18"/>
                <w:color w:val="auto"/>
              </w:rPr>
            </w:pPr>
          </w:p>
        </w:tc>
        <w:tc>
          <w:tcPr>
            <w:tcW w:w="280" w:type="dxa"/>
            <w:vAlign w:val="bottom"/>
            <w:shd w:val="clear" w:color="auto" w:fill="CFF0FF"/>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wages and employees’ benefits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1,579,793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1,487,847</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10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234,595</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237,306</w:t>
            </w:r>
          </w:p>
        </w:tc>
        <w:tc>
          <w:tcPr>
            <w:tcW w:w="2020" w:type="dxa"/>
            <w:vAlign w:val="bottom"/>
            <w:gridSpan w:val="2"/>
            <w:shd w:val="clear" w:color="auto" w:fill="CFF0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Fuel and other operating expenses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819,125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791,656</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10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248,573</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210,105</w:t>
            </w:r>
          </w:p>
        </w:tc>
        <w:tc>
          <w:tcPr>
            <w:tcW w:w="2020" w:type="dxa"/>
            <w:vAlign w:val="bottom"/>
            <w:gridSpan w:val="2"/>
            <w:shd w:val="clear" w:color="auto" w:fill="CFF0FF"/>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352,200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482,160</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10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Ratio</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1740" w:type="dxa"/>
            <w:vAlign w:val="bottom"/>
            <w:shd w:val="clear" w:color="auto" w:fill="CFF0FF"/>
          </w:tcPr>
          <w:p>
            <w:pPr>
              <w:spacing w:after="0"/>
              <w:rPr>
                <w:sz w:val="18"/>
                <w:szCs w:val="18"/>
                <w:color w:val="auto"/>
              </w:rPr>
            </w:pPr>
          </w:p>
        </w:tc>
        <w:tc>
          <w:tcPr>
            <w:tcW w:w="280" w:type="dxa"/>
            <w:vAlign w:val="bottom"/>
            <w:shd w:val="clear" w:color="auto" w:fill="CFF0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6,152</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140.8</w:t>
            </w:r>
          </w:p>
        </w:tc>
      </w:tr>
      <w:tr>
        <w:trPr>
          <w:trHeight w:val="216"/>
        </w:trPr>
        <w:tc>
          <w:tcPr>
            <w:tcW w:w="610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Working Capital (as of December 31, 2025 and 2024)</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169,172</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157,409</w:t>
            </w:r>
          </w:p>
        </w:tc>
        <w:tc>
          <w:tcPr>
            <w:tcW w:w="1740" w:type="dxa"/>
            <w:vAlign w:val="bottom"/>
            <w:shd w:val="clear" w:color="auto" w:fill="CFF0FF"/>
          </w:tcPr>
          <w:p>
            <w:pPr>
              <w:spacing w:after="0"/>
              <w:rPr>
                <w:sz w:val="18"/>
                <w:szCs w:val="18"/>
                <w:color w:val="auto"/>
              </w:rPr>
            </w:pPr>
          </w:p>
        </w:tc>
        <w:tc>
          <w:tcPr>
            <w:tcW w:w="280" w:type="dxa"/>
            <w:vAlign w:val="bottom"/>
            <w:shd w:val="clear" w:color="auto" w:fill="CFF0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Acquisitions of Property and Equipment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544,128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1,040,863</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10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Saia LTL Freight Operating Statistics:</w:t>
            </w:r>
          </w:p>
        </w:tc>
        <w:tc>
          <w:tcPr>
            <w:tcW w:w="14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4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740" w:type="dxa"/>
            <w:vAlign w:val="bottom"/>
            <w:shd w:val="clear" w:color="auto" w:fill="CFF0FF"/>
          </w:tcPr>
          <w:p>
            <w:pPr>
              <w:spacing w:after="0"/>
              <w:rPr>
                <w:sz w:val="18"/>
                <w:szCs w:val="18"/>
                <w:color w:val="auto"/>
              </w:rPr>
            </w:pPr>
          </w:p>
        </w:tc>
        <w:tc>
          <w:tcPr>
            <w:tcW w:w="280" w:type="dxa"/>
            <w:vAlign w:val="bottom"/>
            <w:shd w:val="clear" w:color="auto" w:fill="CFF0FF"/>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Workdays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10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LTL Tonnage</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6,161</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6,037</w:t>
            </w:r>
          </w:p>
        </w:tc>
        <w:tc>
          <w:tcPr>
            <w:tcW w:w="2020" w:type="dxa"/>
            <w:vAlign w:val="bottom"/>
            <w:gridSpan w:val="2"/>
            <w:shd w:val="clear" w:color="auto" w:fill="CFF0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LTL Shipments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8,988</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610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LTL Revenue per hundredweight</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$25.50</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$25.89</w:t>
            </w:r>
          </w:p>
        </w:tc>
        <w:tc>
          <w:tcPr>
            <w:tcW w:w="2020" w:type="dxa"/>
            <w:vAlign w:val="bottom"/>
            <w:gridSpan w:val="2"/>
            <w:shd w:val="clear" w:color="auto" w:fill="CFF0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LTL Revenue per hundredweight, excluding fuel surcharges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10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LTL Revenue per shipment</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$351.99</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$347.81</w:t>
            </w:r>
          </w:p>
        </w:tc>
        <w:tc>
          <w:tcPr>
            <w:tcW w:w="2020" w:type="dxa"/>
            <w:vAlign w:val="bottom"/>
            <w:gridSpan w:val="2"/>
            <w:shd w:val="clear" w:color="auto" w:fill="CFF0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LTL Revenue per shipment, excluding fuel surcharges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$294.23</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0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LTL Pounds per shipment</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1,380</w:t>
            </w:r>
          </w:p>
        </w:tc>
        <w:tc>
          <w:tcPr>
            <w:tcW w:w="15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c>
          <w:tcPr>
            <w:tcW w:w="2020" w:type="dxa"/>
            <w:vAlign w:val="bottom"/>
            <w:gridSpan w:val="2"/>
            <w:shd w:val="clear" w:color="auto" w:fill="CFF0FF"/>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LTL Length of haul</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0" w:lineRule="exact"/>
        <w:rPr>
          <w:sz w:val="20"/>
          <w:szCs w:val="20"/>
          <w:color w:val="auto"/>
        </w:rPr>
      </w:pPr>
    </w:p>
    <w:p>
      <w:pPr>
        <w:spacing w:after="0" w:line="259" w:lineRule="exact"/>
        <w:rPr>
          <w:sz w:val="20"/>
          <w:szCs w:val="20"/>
          <w:color w:val="auto"/>
        </w:rPr>
      </w:pPr>
    </w:p>
    <w:p>
      <w:pPr>
        <w:ind w:right="52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2025 as compared to year ended December 31, 2024 </w:t>
      </w:r>
      <w:r>
        <w:rPr>
          <w:rFonts w:ascii="Times New Roman" w:cs="Times New Roman" w:eastAsia="Times New Roman" w:hAnsi="Times New Roman"/>
          <w:sz w:val="18"/>
          <w:szCs w:val="18"/>
          <w:b w:val="1"/>
          <w:bCs w:val="1"/>
          <w:i w:val="1"/>
          <w:iCs w:val="1"/>
          <w:color w:val="auto"/>
        </w:rPr>
        <w:t>Revenue and volume</w:t>
      </w:r>
    </w:p>
    <w:p>
      <w:pPr>
        <w:spacing w:after="0" w:line="4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Consolidated revenue increased 0.8 percent to $3.2 billion primarily due to increased revenue per shipment, including fuel surcharge, due to pricing actions and truckload volume generated through our logistics business. Positive pricing actions were largely offset by slightly lower shipment volumes. Saia’s LTL tonnage increased 2.1 percent while LTL shipments decreased 0.7 percent for 2025. Overall LTL revenue per shipment, excluding fuel surcharges, increased 1.2 percent in 2025 as a result of pricing actions. For 2025 and 2024, approximately 75 percent of Saia’s operating revenue was subject to specific customer price adjustment negotiations that occur throughout the year. The remaining 25 percent of operating revenue was subject to a general rate increase which is based on market conditions. For customers subject to general rate increases, Saia implemented 5.9 and 7.9 percent general rate increases on October 1, 2025 and October 21, 2024, respectively. Competitive dynamics, customer turnover and changes in shipment mix, among other things, may limit our ability to retain customer rate increases over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Operating revenue includes revenue from the Company’s fuel surcharge program. This program is designed to mitigate the Company’s exposure to volatility in diesel fuel prices by adjusting total freight charges to reflect changes in the national average diesel price. Fuel surcharges, which are typically updated weekly, are widely accepted within the LTL industry and represent a significant component of revenue and pricing structure. Although fuel surcharges are an important element of customer contract negotiations, they comprise only one aspect of total pricing, as customers may negotiate adjustments between base rates and fuel surcharges depending on individual contract terms. Fuel surcharge revenue remained flat at 15.0 percent of operating revenue in 2025 compared to 15.0 percent in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margin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Consolidated operating income decreased to $352.2 million in 2025 compared to $482.2 million in 2024. The decrease in 2025 operating income resulted primarily from increases in salaries, wages and benefits, including group health insurance costs, depreciation expense and claims and insurance costs. These increases were partially offset by increased revenue of $25.2 million, year over year. The 2025 operating ratio (operating expenses divided by operating revenue) was 89.1 percent as compared to 85.0 percent in 2024.</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Salaries, wages and employees’ benefits expense increased $91.9 million in 2025 compared to 2024. This increase was driven by increased group health insurance costs of $37.3 million related to the inflationary costs of claims. This increase also reflects Company-wide wage increases of approximately 3% in October 2025 and 4.1% in July 2024 for all employees other than executives as well as higher average head count associated with new terminal openings, most of which occurred during the first quarter of 2025. Purchased transportation expense decreased $2.7 million in 2025 compared to 2024 primarily due to a decrease in purchased transportation miles and decreased cost per mile for purchased transportation. Fuel, operating expenses and supplies increased by $25.3 million primarily driven by increased information technology costs associated with network optimization and support. This increase also reflects higher facility and vehicle maintenance costs resulting from our expanded geographic footprint and larger base of revenue equipment. Claims and insurance expense in 2025 was $15.1 million higher than 2024 largely due to the development on open cases and increased cost per claim. The Company experiences volatility in claims and insurance expenses from time to time as a result of utilizing self-insurance as a part of its risk management program. Depreciation and amortization expense increased $38.5 million in 2025 compared to 2024 primarily due to ongoing investments in revenue equipment, our terminal network and technology. Operating (gains) losses, net decreased $16.9 million in 2025 compared to 2024 due to a gain on the sale of a terminal of $16.4 million, partially offset by a real estate impairment loss of $1.9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 2025 was $7.5 million greater than 2024 due to increased average borrowings under the credit arrangements in 2025. Interest income in 2025 was $0.9 million less than 2024 due to decreased average deposit balances during the period. The effective income tax rate was 24.4 and 23.9 percent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remains closely correlated with non-service sectors of the general economy and competitive pricing pressures, as well as the success of Company-specific improvement initiatives. Our outlook is dependent on a number of external factors, including strength of the economy, inflation, changes in regulatory conditions and international trade relations, including tariff volatility, labor availability, diesel fuel prices and supply chain constraints. The potential impact of these factors on our operations, financial performance and financial condition, as well as the impact on our ability to successfully execute our business strategies and initiatives, remains uncertain and difficult to predict. We are continuing initiatives to improve and enhance customer service in an effort to support our ongoing pricing and business mix optimization, while seeking to control costs and improve productivity. Planned revenue initiatives include building density in our current geography, targeted marketing initiatives to grow revenue in more profitable areas and further expanding our geographic and terminal network. On October 1, 2025, Saia implemented a 5.9 percent general rate increase for customers comprising approximately 25 percent of Saia’s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revenue. The success of these revenue initiatives is impacted by what proves to be the underlying economic trends, competitor initiatives and other factors discussed under “Cautionary Note Regarding Forward-Looking Statements” and Part I, Item 1A., “Risk Factors.”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Effective October 2025, the Company implemented a salary and wage increase of approximately 3.0 percent for all of its employees, excluding executives. The total cost of the compensation increase is expected to be approximately $34.9 million annually, and the Company anticipates the impact will be partially offset by productivity and efficiency gains.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strategic objective of the Company is to build market share through excellent customer service, continued operating efficiencies and through its geographic and terminal expansion which should result in numerous operating leverage cost benefits. However, should the economy soften, the Company plans to match resources and capacity to shifting volume levels to lessen unfavorable operating leverage. The success of cost improvement initiatives is impacted by a number of factors. These factors include the cost and availability of personnel and purchased transportation and the cost of diesel fuel, claims and insurance and other inflationary factors.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“Cautionary Note Regarding Forward-Looking Statements” and Part I, Item 1A., “Risk Factors,” for a more complete discussion of potential risks and uncertainties that could materially adversely affect our financial condition, results of operation, cash flows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 in 2025</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Under this ASU, income tax disclosures are expanded primarily by requiring the disaggregation of the rate reconciliation and income taxes paid disclosures. This standard is effective for annual reporting periods beginning after December 15, 2024. The Company adopted the standard on a retrospective basis for the 2025 annual reporting period with the impact limited to incremental disclosures in our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Under this ASU, entities are required to disclose additional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certain expense captions included in the Consolidated Statements of Operations. This standard is effective for annual reporting periods beginning after December 15, 2026 and interim reporting periods beginning after December 15, 2027. The Company is currently evaluating the impact of this standard on its consolidated financial statements and related disclosures.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Under this ASU, a practical expedient is provided that assumes that current conditions as of the balance sheet date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for the remaining life of the asset for current accounts receivable and current contract assets. This standard is effective for annual reporting periods beginning after December 15, 2025, and for interim periods within those fiscal years, with early adoption permitted. The Company is currently evaluating the impact of this standard on its consolidated financial statements and related disclosures.</w:t>
      </w:r>
    </w:p>
    <w:p>
      <w:pPr>
        <w:spacing w:after="0" w:line="7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Under this ASU, all references to prescriptive and sequential software development stages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eliminated and capitalization of software costs is required to start when management has authorized and committed to funding the software project and it is probable that the project will be completed and the software will be used to perform the function intended. This standard is effective for annual reporting periods beginning after December 15, 2027 and for interim periods within those fiscal years. The Company is currently evaluating the impact of this standard on its consolidated financial statements and related disclosures.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liquidity needs arise primarily from capital investment in new equipment, land and structures, information technology and letters of credit and surety bonds required under insurance programs, as well as funding working capital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 Expenditures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Working capital at December 31, 2025 was $169.2 million compared to $157.4 million at December 31, 2024. This increase is primarily due to an increase in accounts receivable of $9.2 million and a decrease in accounts payable of $7.1 million, partially offset by a decrease in income taxes receivable of $11.6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cash flows is presented below:</w:t>
      </w:r>
    </w:p>
    <w:p>
      <w:pPr>
        <w:spacing w:after="0" w:line="36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7620</wp:posOffset>
            </wp:positionV>
            <wp:extent cx="28975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124"/>
        </w:trPr>
        <w:tc>
          <w:tcPr>
            <w:tcW w:w="6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Pr>
          <w:p>
            <w:pPr>
              <w:jc w:val="right"/>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$296,215</w:t>
            </w:r>
          </w:p>
        </w:tc>
      </w:tr>
      <w:tr>
        <w:trPr>
          <w:trHeight w:val="21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594,973</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583,702</w:t>
            </w:r>
          </w:p>
        </w:tc>
        <w:tc>
          <w:tcPr>
            <w:tcW w:w="20" w:type="dxa"/>
            <w:vAlign w:val="bottom"/>
          </w:tcPr>
          <w:p>
            <w:pPr>
              <w:spacing w:after="0"/>
              <w:rPr>
                <w:sz w:val="18"/>
                <w:szCs w:val="18"/>
                <w:color w:val="auto"/>
              </w:rPr>
            </w:pPr>
          </w:p>
        </w:tc>
      </w:tr>
      <w:tr>
        <w:trPr>
          <w:trHeight w:val="216"/>
        </w:trPr>
        <w:tc>
          <w:tcPr>
            <w:tcW w:w="8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(552,522)</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(1,035,864)</w:t>
            </w:r>
          </w:p>
        </w:tc>
        <w:tc>
          <w:tcPr>
            <w:tcW w:w="20" w:type="dxa"/>
            <w:vAlign w:val="bottom"/>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(42,204)</w:t>
            </w: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175,420</w:t>
            </w:r>
          </w:p>
        </w:tc>
        <w:tc>
          <w:tcPr>
            <w:tcW w:w="20" w:type="dxa"/>
            <w:vAlign w:val="bottom"/>
          </w:tcPr>
          <w:p>
            <w:pPr>
              <w:spacing w:after="0"/>
              <w:rPr>
                <w:sz w:val="18"/>
                <w:szCs w:val="18"/>
                <w:color w:val="auto"/>
              </w:rPr>
            </w:pPr>
          </w:p>
        </w:tc>
      </w:tr>
      <w:tr>
        <w:trPr>
          <w:trHeight w:val="209"/>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(276,742)</w:t>
            </w:r>
          </w:p>
        </w:tc>
        <w:tc>
          <w:tcPr>
            <w:tcW w:w="20" w:type="dxa"/>
            <w:vAlign w:val="bottom"/>
          </w:tcPr>
          <w:p>
            <w:pPr>
              <w:spacing w:after="0"/>
              <w:rPr>
                <w:sz w:val="18"/>
                <w:szCs w:val="18"/>
                <w:color w:val="auto"/>
              </w:rPr>
            </w:pPr>
          </w:p>
        </w:tc>
      </w:tr>
      <w:tr>
        <w:trPr>
          <w:trHeight w:val="21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-170815</wp:posOffset>
            </wp:positionV>
            <wp:extent cx="1460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were $595.0 million for 2025 versus $583.7 million for 2024 largely driven by changes in other assets and liabilities, and increased depreciation and amortization, partially offset by net gains from property disposals. For 2025, net cash used in investing activities was $552.5 million versus $1,035.9 million in 2024 primarily due to the acquisition of terminals from Yellow Corporation in January 2024 as well as decreased revenue equipment acquisitions in 2025 compared to 2024. Net cash used in financing activities was $42.2 million in 2025 versus $175.4 million provided by financing activities in 2024 as a result of higher borrowings to fund capital expenditures during 2024.</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historically generated cash flows from operations to fund a large portion of its capital expenditure requirements. The Company believes it has adequate sources of capital to meet short-term liquidity needs through its cash on hand, operating cash flows and availability under its credit arrangements. As of December 31, 2025, the Company has $500.6 million of availability under its Revolving Credit Facility and $250 million of uncommitted financing under the Company's Private Shelf Agreement, subject to certain conditions. Future operating cash flows are primarily dependent upon the Company’s profitability and its ability to manage its working capital requirements, primarily accounts receivable, accounts payable as well as wage and benefit accruals. The Company was in compliance with its debt covenants at December 31, 2025.</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capital expenditures pertain primarily to investments in tractors, trailers, other revenue equipment, information technology as well as land and structures. Projected net capital expenditures for 2026 are expected to be $350 million to $400 million compared to 2025 net capital expenditures of $544.1 million. Estimated 2026 capital expenditures include a normal replacement cycle of revenue equipment and technology investments for our operations, and additional revenue equipment and real estate investments to support our growth initiatives.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“Cautionary Note Regarding Forward-Looking Statements” and Item 1A., “Risk Factors,” for a more complete discussion of potential risks and uncertainties that could materially affect our future performance and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capital expenditures are summarized in the following table (in millions):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180" w:type="dxa"/>
            <w:vAlign w:val="bottom"/>
            <w:tcBorders>
              <w:bottom w:val="single" w:sz="8" w:color="auto"/>
            </w:tcBorders>
          </w:tcPr>
          <w:p>
            <w:pPr>
              <w:spacing w:after="0"/>
              <w:rPr>
                <w:sz w:val="15"/>
                <w:szCs w:val="15"/>
                <w:color w:val="auto"/>
              </w:rPr>
            </w:pPr>
          </w:p>
        </w:tc>
      </w:tr>
      <w:tr>
        <w:trPr>
          <w:trHeight w:val="196"/>
        </w:trPr>
        <w:tc>
          <w:tcPr>
            <w:tcW w:w="6440" w:type="dxa"/>
            <w:vAlign w:val="bottom"/>
          </w:tcPr>
          <w:p>
            <w:pPr>
              <w:spacing w:after="0"/>
              <w:rPr>
                <w:sz w:val="17"/>
                <w:szCs w:val="17"/>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Land and structures:</w:t>
            </w:r>
          </w:p>
        </w:tc>
        <w:tc>
          <w:tcPr>
            <w:tcW w:w="112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180" w:type="dxa"/>
            <w:vAlign w:val="bottom"/>
            <w:shd w:val="clear" w:color="auto" w:fill="CFF0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16"/>
        </w:trPr>
        <w:tc>
          <w:tcPr>
            <w:tcW w:w="644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F"/>
          </w:tcPr>
          <w:p>
            <w:pPr>
              <w:spacing w:after="0"/>
              <w:rPr>
                <w:sz w:val="18"/>
                <w:szCs w:val="18"/>
                <w:color w:val="auto"/>
              </w:rPr>
            </w:pPr>
          </w:p>
        </w:tc>
        <w:tc>
          <w:tcPr>
            <w:tcW w:w="124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Revenue equipment,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16"/>
        </w:trPr>
        <w:tc>
          <w:tcPr>
            <w:tcW w:w="6440" w:type="dxa"/>
            <w:vAlign w:val="bottom"/>
            <w:tcBorders>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11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FF0FF"/>
            </w:tcBorders>
            <w:shd w:val="clear" w:color="auto" w:fill="CFF0FF"/>
          </w:tcPr>
          <w:p>
            <w:pPr>
              <w:spacing w:after="0"/>
              <w:rPr>
                <w:sz w:val="18"/>
                <w:szCs w:val="18"/>
                <w:color w:val="auto"/>
              </w:rPr>
            </w:pPr>
          </w:p>
        </w:tc>
        <w:tc>
          <w:tcPr>
            <w:tcW w:w="11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FF0FF"/>
            </w:tcBorders>
            <w:shd w:val="clear" w:color="auto" w:fill="CFF0FF"/>
          </w:tcPr>
          <w:p>
            <w:pPr>
              <w:spacing w:after="0"/>
              <w:rPr>
                <w:sz w:val="18"/>
                <w:szCs w:val="18"/>
                <w:color w:val="auto"/>
              </w:rPr>
            </w:pPr>
          </w:p>
        </w:tc>
        <w:tc>
          <w:tcPr>
            <w:tcW w:w="11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50"/>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0"/>
        </w:trPr>
        <w:tc>
          <w:tcPr>
            <w:tcW w:w="6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-196850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-196850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amounts disclosed in the table above, the Company had an additional $10.5 million in capital expenditures for revenue equipment that was received but not paid for prior to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Arrangements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Company is a party to an unsecured credit agreement with its banking group (the Revolving Credit Facility) that was amended in December 2024. The amendment increased commitments under the Revolving Credit Facility by $300 million to an aggregate commitment of $600 million and expanded the accordion feature, subject to certain conditions and availability of lender commitments, from $150 million to $300 million. This amendment also extended the maturity date of the Revolving Credit Facility from February 3, 2028, to December 9, 2029. Borrowings under the Revolving Credit Facility bear interest at the Company’s election at a variable rate equal to (a) one, three or six month term SOFR (the forward-looking secured overnight financing rate) plus 0.10%, or (b) an alternate base rate, in each case plus an applicable margin. Additionally, the amendment adjusted the applicable margin such that it is now between 1.25% and 2.00% per annum for term SOFR loans and between 0.25% and 1.00% per annum for alternate base rate loans, in each case based on the Company’s consolidated net lease adjusted leverage ratio. The amendment also modified the fees that the Company accrues based on the daily unused portion of the credit facility, which will now range between 0.175% and 0.30% based on the Company’s consolidated net lease adjusted leverage ratio. The Revolving Credit Facility contains certain customary representations and warranties, affirmative and negative covenants and provisions relating to events of default. Under the Revolving Credit Facility, if an event of default occurs, the banks will be entitled to take various actions, including the acceleration of amounts due. Under the Revolving Credit Facility, the Company is subject to a maximum consolidated net lease adjusted leverage ratio of less than 3.50 to 1.00 with the potential to be temporarily increased in the event the Company makes an acquisition that meets certain criteria. The Company was in compliance with its debt covenants under the Revolving Credit Facility at December 31, 2025.</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outstanding borrowings of $63.0 million and outstanding letters of credit of $36.4 million under the Revolving Credit Facility. At December 31, 2024, the Company had $94.0 million of outstanding borrowings and outstanding letters of credit of $32.2 million under the Revolving Credit Facility.</w:t>
      </w:r>
    </w:p>
    <w:p>
      <w:pPr>
        <w:spacing w:after="0" w:line="176" w:lineRule="exact"/>
        <w:rPr>
          <w:sz w:val="20"/>
          <w:szCs w:val="20"/>
          <w:color w:val="auto"/>
        </w:rPr>
      </w:pPr>
    </w:p>
    <w:p>
      <w:pPr>
        <w:jc w:val="both"/>
        <w:ind w:right="20" w:firstLine="577"/>
        <w:spacing w:after="0" w:line="282" w:lineRule="auto"/>
        <w:rPr>
          <w:sz w:val="20"/>
          <w:szCs w:val="20"/>
          <w:color w:val="auto"/>
        </w:rPr>
      </w:pPr>
      <w:r>
        <w:rPr>
          <w:rFonts w:ascii="Times New Roman" w:cs="Times New Roman" w:eastAsia="Times New Roman" w:hAnsi="Times New Roman"/>
          <w:sz w:val="18"/>
          <w:szCs w:val="18"/>
          <w:color w:val="auto"/>
        </w:rPr>
        <w:t>See Note 2, "Debt and Financing Arrangements" of the accompanying audited Consolidated Financial Statements for more information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Shelf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9, 2023, the Company entered into a $350 million uncommitted Private Shelf Agreement (the Shelf Agreement) with PGIM, Inc. (Prudential) and certain affiliates and managed accounts of Prudential (the Note Purchasers) which allows the Company, from time to time, to offer for sale to Prudential and its affiliates, in one or a series of transactions, senior notes of the Company, through November 9, 2026.</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Shelf Agreement, on May 1, 2024, the Company issued senior promissory notes (the Initial Notes) in an aggregate principal amount of $100 million to the Note Purchasers. The Initial Notes bear interest at 6.09% per annum and mature on May 1, 2029, unless repaid earlier by the Company. The Initial Notes are senior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unsecured obligations and rank pari passu with borrowings under the Revolving Credit Facility or other senior promissory notes issued pursuant to the Shelf Agreement.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 notes issued under the Shelf Agreement, if any, would bear interest at a rate per annum, and would have such other terms, as would be set forth in a confirmation of acceptance executed by the parties prior to the closing of the applicable sale transaction.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Shelf Agreement requires that the Company maintain a consolidated net lease adjusted leverage ratio of less than 3.50 to 1.00, with limited exceptions. The Shelf Agreement also contains certain customary representations and warranties, affirmative and negative covenants and provisions related to events of default. Upon the occurrence and continuance of an event of default, the holders of notes issued under the Shelf Agreement may require immediate payment of all amounts owing under such notes. The Company was in compliance with its debt covenants under the Shelf Agreement at December 31,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2025 and 2024, the Company had outstanding notes under the Shelf Agreement of $100.0 million.</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Note 2, "Debt and Financing Arrangements" of the accompanying audited Consolidated Financial Statements for more information on the Shelf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obligated under finance leases with seven-year terms for revenue equipment totaling $1.0 million and $6.3 million as of December 31, 2025 and 2024, respectively. Amortization of assets held under the finance leases is included in depreciation and amortization expense. The weighted average interest rates for the finance leases at December 31, 2025 and 2024 were 3.53% and 4.09%,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Contractual obligations for the Company are comprised of lease agreements, purchase obligations and long-term debt obligations related to any outstanding balance under the credit arrangements. Contractual obligations for operating leases at December 31, 2025 totaled $168.2 million. This includes operating leases with original maturities of less than one year, which are not recorded in our consolidated balance sheet in accordance with U.S. generally accepted accounting principles. Contractual obligations in the form of finance leases were $1.0 million at December 31, 2025, which include both principal and interest components. Purchase obligations at December 31, 2025 were $14.8 million. As of December 31, 2025 the Revolving Credit Facility had a $63.0 million outstanding principal balance and the Shelf Agreement had a $100.0 million outstanding principal balance. See Note 2, "Debt and Financing Arrangements" of the accompanying audited Consolidated Financial Statements for more information on the credit arrangements.</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commercial commitments of the Company typically include letters of credit and surety bonds required for collateral under insurance agreements. As of December 31, 2025 the Company had total outstanding letters of credit of $36.4 million and $58.4 million in surety bonds.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to any principal amounts disclosed, the Company has interest obligations of approximately $10.7 million for 2026, based on borrowings and commitments outstanding at December 31, 2025.</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accrued approximately $3.0 million for uncertain tax positions and accrued interest and penalties of $0.4 million related to the uncertain tax positions as of December 31, 2025.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2025, the Company has $125.1 million accrued for claims, insurance and other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makes estimates and assumptions in preparing the consolidated financial statements that affect reported amounts and disclosures therein. In the opinion of management, the accounting policies that generally have the most significant impact on the financial position and results of operations of the Company include:</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and Insurance Accruals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500" w:hanging="369"/>
        <w:spacing w:after="0" w:line="284"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self-insured for certain levels of workers’ compensation, bodily injury and property damage, casualty,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cargo loss and damage and group health claims.</w:t>
      </w:r>
    </w:p>
    <w:p>
      <w:pPr>
        <w:spacing w:after="0" w:line="50" w:lineRule="exact"/>
        <w:rPr>
          <w:rFonts w:ascii="Times New Roman" w:cs="Times New Roman" w:eastAsia="Times New Roman" w:hAnsi="Times New Roman"/>
          <w:sz w:val="18"/>
          <w:szCs w:val="18"/>
          <w:color w:val="auto"/>
        </w:rPr>
      </w:pPr>
    </w:p>
    <w:p>
      <w:pPr>
        <w:jc w:val="both"/>
        <w:ind w:left="1500" w:hanging="369"/>
        <w:spacing w:after="0" w:line="258"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Judgments and Uncertainties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and insurance accruals for these claims are established by management based on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that the Company will ultimately incur on reported claims and on claims that have been incurred but not yet reported. Accruals are calculated on reported claims based on an evaluation of the nature and severity of the claim, historical loss experience and on legal, economic and other factors. Actuarial analysis is also used in calculating the accruals for workers’ compensation and bodily injury and property damage claims.</w:t>
      </w:r>
    </w:p>
    <w:p>
      <w:pPr>
        <w:spacing w:after="0" w:line="75" w:lineRule="exact"/>
        <w:rPr>
          <w:rFonts w:ascii="Times New Roman" w:cs="Times New Roman" w:eastAsia="Times New Roman" w:hAnsi="Times New Roman"/>
          <w:sz w:val="18"/>
          <w:szCs w:val="18"/>
          <w:color w:val="auto"/>
        </w:rPr>
      </w:pPr>
    </w:p>
    <w:p>
      <w:pPr>
        <w:jc w:val="both"/>
        <w:ind w:left="1500" w:hanging="369"/>
        <w:spacing w:after="0" w:line="257"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Sensitivity of Estimate to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accruals could be significantly affected if the actual costs of these claims differ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used to establish the accruals. A significant number of these claims typically take several years to develop and even longer to ultimately settle. These accruals have been reasonably accurate over time; however, changes to estimates and assumptions regarding severity of claims, medical cost inflation, as well as specific case facts can create short-term volatility in these accruals. A 100 basis point change in our loss development factors would result in an immaterial change in the claims and insurance accruals. There have been no material changes in the development factors for the year ended December 31, 2025.</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Recognition and Related Allowances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500" w:hanging="369"/>
        <w:spacing w:after="0" w:line="267"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is recognized over the transit time of the shipment as it moves from origin to destination while expenses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incurred. Estimates included in the recognition of revenue and accounts receivable include estimates related to shipments in transit and estimates of future adjustments to revenue and accounts receivable for billing adjustments and collectability.</w:t>
      </w:r>
    </w:p>
    <w:p>
      <w:pPr>
        <w:spacing w:after="0" w:line="65" w:lineRule="exact"/>
        <w:rPr>
          <w:rFonts w:ascii="Times New Roman" w:cs="Times New Roman" w:eastAsia="Times New Roman" w:hAnsi="Times New Roman"/>
          <w:sz w:val="18"/>
          <w:szCs w:val="18"/>
          <w:color w:val="auto"/>
        </w:rPr>
      </w:pPr>
    </w:p>
    <w:p>
      <w:pPr>
        <w:jc w:val="both"/>
        <w:ind w:left="1500" w:right="20" w:hanging="369"/>
        <w:spacing w:after="0" w:line="267"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Judgments and Uncertainties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is recognized in a systematic process whereby estimates related to shipments in transit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actual bills of lading received near period end and the estimated percentage of completion of the service at period end. Estimates for credit losses and billing adjustments are based upon historical experience.</w:t>
      </w:r>
    </w:p>
    <w:p>
      <w:pPr>
        <w:spacing w:after="0" w:line="65" w:lineRule="exact"/>
        <w:rPr>
          <w:rFonts w:ascii="Times New Roman" w:cs="Times New Roman" w:eastAsia="Times New Roman" w:hAnsi="Times New Roman"/>
          <w:sz w:val="18"/>
          <w:szCs w:val="18"/>
          <w:color w:val="auto"/>
        </w:rPr>
      </w:pPr>
    </w:p>
    <w:p>
      <w:pPr>
        <w:jc w:val="both"/>
        <w:ind w:left="1500" w:hanging="369"/>
        <w:spacing w:after="0" w:line="261"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Sensitivity of Estimate to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cycle for pick-up and delivery of shipments is generally one to five days, typically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ten percent of a total month’s revenue is in transit at the end of any month. Estimates included in the recognition of revenue and accounts receivable are continuously evaluated and updated; however, changes in economic conditions, customer creditworthiness, pricing arrangements and other factors may significantly impact these estimates.</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Depreciation of Assets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500" w:right="20" w:hanging="369"/>
        <w:spacing w:after="0" w:line="261"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Description</w:t>
      </w:r>
      <w:r>
        <w:rPr>
          <w:rFonts w:ascii="Times New Roman" w:cs="Times New Roman" w:eastAsia="Times New Roman" w:hAnsi="Times New Roman"/>
          <w:sz w:val="18"/>
          <w:szCs w:val="18"/>
          <w:color w:val="auto"/>
        </w:rPr>
        <w:t>: Under the Company’s accounting policy for property and equipment, management establishes depreciable lives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salvage values for the Company’s revenue equipment (tractors and trailers) based on their estimated useful lives and estimated residual values to be received when the equipment is sold or traded in. These estimates are routinely evaluated and updated when circumstances warrant.</w:t>
      </w:r>
    </w:p>
    <w:p>
      <w:pPr>
        <w:spacing w:after="0" w:line="71" w:lineRule="exact"/>
        <w:rPr>
          <w:rFonts w:ascii="Times New Roman" w:cs="Times New Roman" w:eastAsia="Times New Roman" w:hAnsi="Times New Roman"/>
          <w:sz w:val="18"/>
          <w:szCs w:val="18"/>
          <w:color w:val="auto"/>
        </w:rPr>
      </w:pPr>
    </w:p>
    <w:p>
      <w:pPr>
        <w:jc w:val="both"/>
        <w:ind w:left="1500" w:hanging="369"/>
        <w:spacing w:after="0" w:line="257"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Judgments and Uncertainties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Selecting the appropriate accounting method for depreciation requires management judgment, as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multiple acceptable methods that are in accordance with U.S. generally accepted accounting principles, including straight-line, declining-balance, and sum-of-the-years' digits. The Company depreciates property and equipment on straight-line and declining-balance bases over the estimated useful lives of the assets. The Company believes these methods properly spread the costs over the useful lives of the assets. Factors affecting estimated useful lives and residual values of property and equipment may include estimating loss, damage, obsolescence, and Company policies around maintenance and asset replacement.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4" w:lineRule="exact"/>
        <w:rPr>
          <w:sz w:val="20"/>
          <w:szCs w:val="20"/>
          <w:color w:val="auto"/>
        </w:rPr>
      </w:pPr>
    </w:p>
    <w:p>
      <w:pPr>
        <w:jc w:val="both"/>
        <w:ind w:left="1500" w:hanging="369"/>
        <w:spacing w:after="0" w:line="261"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Sensitivity of Estimate to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useful lives and residual values could differ from these assumptions based on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other factors, thereby impacting the estimated amount or timing of depreciation expense. See Note 1, "Description of Business and Summary of Accounting Policies" of the accompanying audited Consolidated Financial Statements, for discussion of the effects of changes to judgments related to depreciation expense for the year ended December 31, 2025.</w:t>
      </w:r>
    </w:p>
    <w:p>
      <w:pPr>
        <w:spacing w:after="0" w:line="1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accounting policies and others are described in further detail in the Notes to the audited Consolidated Financial Statements included in this Form 10-K.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generally accepted accounting principles requires management to adopt accounting policies and make significant judgments and estimates to develop amounts reflected and disclosed in the consolidated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the consolidated financial statements. However, even under optimal circumstances, estimates routinely require adjustment based on changing circumstances and the receipt of new or better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exposed to a variety of market risks including the effects of interest rates and diesel fuel prices. The detail of the Company’s debt structure is more fully described in the Notes to the audited Consolidated Financial Statements set forth in this Form 10-K. To help mitigate our exposure to rising diesel fuel prices, the Company has an established fuel surcharge program.</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debt as of December 31, 2025. The table presents annual principal cash flows (in millions) and related weighted average interest rates by contractual maturity dates. The fair value of fixed rate debt is based on current market interest rates for similar types of financial instruments, reflective of level two inputs. The carrying amount of the Company’s variable rate debt approximates fair value as interest rates approximate the current rates available to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55"/>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10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gridSpan w:val="2"/>
          </w:tcPr>
          <w:p>
            <w:pPr>
              <w:jc w:val="right"/>
              <w:ind w:right="290"/>
              <w:spacing w:after="0" w:line="155" w:lineRule="exact"/>
              <w:rPr>
                <w:sz w:val="20"/>
                <w:szCs w:val="20"/>
                <w:color w:val="auto"/>
              </w:rPr>
            </w:pPr>
            <w:r>
              <w:rPr>
                <w:rFonts w:ascii="Times New Roman" w:cs="Times New Roman" w:eastAsia="Times New Roman" w:hAnsi="Times New Roman"/>
                <w:sz w:val="14"/>
                <w:szCs w:val="14"/>
                <w:b w:val="1"/>
                <w:bCs w:val="1"/>
                <w:color w:val="auto"/>
              </w:rPr>
              <w:t>2027</w:t>
            </w:r>
          </w:p>
        </w:tc>
        <w:tc>
          <w:tcPr>
            <w:tcW w:w="1120" w:type="dxa"/>
            <w:vAlign w:val="bottom"/>
            <w:gridSpan w:val="2"/>
          </w:tcPr>
          <w:p>
            <w:pPr>
              <w:jc w:val="right"/>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10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2029</w:t>
            </w:r>
          </w:p>
        </w:tc>
        <w:tc>
          <w:tcPr>
            <w:tcW w:w="1120" w:type="dxa"/>
            <w:vAlign w:val="bottom"/>
            <w:gridSpan w:val="2"/>
          </w:tcPr>
          <w:p>
            <w:pPr>
              <w:jc w:val="right"/>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3"/>
                <w:szCs w:val="13"/>
                <w:color w:val="auto"/>
              </w:rPr>
            </w:pPr>
          </w:p>
        </w:tc>
        <w:tc>
          <w:tcPr>
            <w:tcW w:w="1000" w:type="dxa"/>
            <w:vAlign w:val="bottom"/>
          </w:tcPr>
          <w:p>
            <w:pPr>
              <w:jc w:val="right"/>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3"/>
                <w:szCs w:val="13"/>
                <w:color w:val="auto"/>
              </w:rPr>
            </w:pPr>
          </w:p>
        </w:tc>
        <w:tc>
          <w:tcPr>
            <w:tcW w:w="1000" w:type="dxa"/>
            <w:vAlign w:val="bottom"/>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00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380" w:type="dxa"/>
            <w:vAlign w:val="bottom"/>
            <w:vMerge w:val="continue"/>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Variable rate debt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40" w:type="dxa"/>
            <w:vAlign w:val="bottom"/>
          </w:tcPr>
          <w:p>
            <w:pPr>
              <w:spacing w:after="0"/>
              <w:rPr>
                <w:sz w:val="20"/>
                <w:szCs w:val="20"/>
                <w:color w:val="auto"/>
              </w:rPr>
            </w:pPr>
          </w:p>
        </w:tc>
      </w:tr>
      <w:tr>
        <w:trPr>
          <w:trHeight w:val="459"/>
        </w:trPr>
        <w:tc>
          <w:tcPr>
            <w:tcW w:w="3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40" w:type="dxa"/>
            <w:vAlign w:val="bottom"/>
          </w:tcPr>
          <w:p>
            <w:pPr>
              <w:spacing w:after="0"/>
              <w:rPr>
                <w:sz w:val="24"/>
                <w:szCs w:val="24"/>
                <w:color w:val="auto"/>
              </w:rPr>
            </w:pPr>
          </w:p>
        </w:tc>
      </w:tr>
      <w:tr>
        <w:trPr>
          <w:trHeight w:val="391"/>
        </w:trPr>
        <w:tc>
          <w:tcPr>
            <w:tcW w:w="4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20" w:type="dxa"/>
            <w:vAlign w:val="bottom"/>
            <w:tcBorders>
              <w:bottom w:val="single" w:sz="8" w:color="0000EE"/>
            </w:tcBorders>
          </w:tcPr>
          <w:p>
            <w:pPr>
              <w:spacing w:after="0"/>
              <w:rPr>
                <w:sz w:val="24"/>
                <w:szCs w:val="24"/>
                <w:color w:val="auto"/>
              </w:rPr>
            </w:pPr>
          </w:p>
        </w:tc>
        <w:tc>
          <w:tcPr>
            <w:tcW w:w="4880" w:type="dxa"/>
            <w:vAlign w:val="bottom"/>
            <w:gridSpan w:val="5"/>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96"/>
        </w:trPr>
        <w:tc>
          <w:tcPr>
            <w:tcW w:w="9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 December 31, 2025 and 2024</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316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 Years ended December 31, 2025, 2024 and 2023</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3160" w:type="dxa"/>
            <w:vAlign w:val="bottom"/>
            <w:shd w:val="clear" w:color="auto" w:fill="0000FF"/>
          </w:tcPr>
          <w:p>
            <w:pPr>
              <w:spacing w:after="0" w:line="20" w:lineRule="exact"/>
              <w:rPr>
                <w:sz w:val="1"/>
                <w:szCs w:val="1"/>
                <w:color w:val="auto"/>
              </w:rPr>
            </w:pPr>
          </w:p>
        </w:tc>
        <w:tc>
          <w:tcPr>
            <w:tcW w:w="34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73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 Years ended December 31, 2025, 2024 and 2023</w:t>
            </w:r>
          </w:p>
        </w:tc>
        <w:tc>
          <w:tcPr>
            <w:tcW w:w="186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66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 Years ended December 31, 2025, 2024 and 2023</w:t>
            </w:r>
          </w:p>
        </w:tc>
        <w:tc>
          <w:tcPr>
            <w:tcW w:w="2540" w:type="dxa"/>
            <w:vAlign w:val="bottom"/>
            <w:gridSpan w:val="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31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40" w:type="dxa"/>
            <w:vAlign w:val="bottom"/>
            <w:gridSpan w:val="7"/>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885"/>
        </w:trPr>
        <w:tc>
          <w:tcPr>
            <w:tcW w:w="6620" w:type="dxa"/>
            <w:vAlign w:val="bottom"/>
            <w:gridSpan w:val="5"/>
          </w:tcPr>
          <w:p>
            <w:pPr>
              <w:ind w:left="554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Saia,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Saia, Inc. and subsidiaries (the Company) as of December 31, 2025 and 2024, the related consolidated statements of operations,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2026 expressed an unqualified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Evaluation of the estimated liabilities for self-insured workers’ compensation and bodily injury claims</w:t>
      </w:r>
    </w:p>
    <w:p>
      <w:pPr>
        <w:spacing w:after="0" w:line="187" w:lineRule="exact"/>
        <w:rPr>
          <w:sz w:val="20"/>
          <w:szCs w:val="20"/>
          <w:color w:val="auto"/>
        </w:rPr>
      </w:pPr>
    </w:p>
    <w:p>
      <w:pPr>
        <w:ind w:left="380" w:right="80"/>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has recorded estimated liabilities for claims related to workers’ compensation and bodily injury. These liabilities are recorded within claims and insurance accruals (current) of $46.0 million, and claims, insurance, and other (non-current) of $79.1 million, as of December 31, 2025.</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identified the evaluation of the estimated liabilities for self-insured workers’ compensation and bodily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7" w:name="page48"/>
    <w:bookmarkEnd w:id="47"/>
    <w:p>
      <w:pPr>
        <w:spacing w:after="0" w:line="153"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8"/>
          <w:szCs w:val="18"/>
          <w:color w:val="auto"/>
        </w:rPr>
        <w:t>injury claims as a critical audit matter because of the inherent uncertainty in the amounts that will ultimately be paid to settle these claims. Factors that may affect the settlement cost of claims include the length of time the claim remains open, its potential severity, and the results of litigation. Additionally, the Company’s liabilities include estimates for future development of claims and specialized skills were needed to evaluate the actuarial methods and assumptions used to make these estimates.</w:t>
      </w:r>
    </w:p>
    <w:p>
      <w:pPr>
        <w:spacing w:after="0" w:line="180" w:lineRule="exact"/>
        <w:rPr>
          <w:sz w:val="20"/>
          <w:szCs w:val="20"/>
          <w:color w:val="auto"/>
        </w:rPr>
      </w:pPr>
    </w:p>
    <w:p>
      <w:pPr>
        <w:ind w:left="380" w:right="10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self-insurance processes, including controls over the methods and assumptions used in estimating the liabilities. We evaluated the Company’s accruals for a selection of reported claims by comparing the individual accruals to current available information, which included claim files and attorneys’ letters, and we tested the Company’s historical paid loss data by inspecting a sample of claim payments. In addition, we involved an actuarial professional with specialized skills and knowledge, who assisted by comparing the Company’s actuarial methods with generally accepted actuarial methods and evaluating the key assumptions used in determining the liabilities.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Saia,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 xml:space="preserve">We have audited Saia, Inc. and subsidiaries' (the Company)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stockholders’ equity, and cash flows for each of the years in the three-year period ended December 31, 2025, and the related notes (collectively, the consolidated financial statements), and our report dated February 24, 2026 expressed an unqualified opinion on those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9" w:name="page50"/>
    <w:bookmarkEnd w:id="49"/>
    <w:p>
      <w:pPr>
        <w:spacing w:after="0" w:line="86"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58"/>
        </w:trPr>
        <w:tc>
          <w:tcPr>
            <w:tcW w:w="7840" w:type="dxa"/>
            <w:vAlign w:val="bottom"/>
          </w:tcPr>
          <w:p>
            <w:pPr>
              <w:spacing w:after="0"/>
              <w:rPr>
                <w:sz w:val="13"/>
                <w:szCs w:val="13"/>
                <w:color w:val="auto"/>
              </w:rPr>
            </w:pPr>
          </w:p>
        </w:tc>
        <w:tc>
          <w:tcPr>
            <w:tcW w:w="1880" w:type="dxa"/>
            <w:vAlign w:val="bottom"/>
            <w:gridSpan w:val="3"/>
          </w:tcPr>
          <w:p>
            <w:pPr>
              <w:jc w:val="right"/>
              <w:ind w:right="640"/>
              <w:spacing w:after="0" w:line="157"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3"/>
                <w:szCs w:val="13"/>
                <w:color w:val="auto"/>
              </w:rPr>
            </w:pPr>
          </w:p>
        </w:tc>
        <w:tc>
          <w:tcPr>
            <w:tcW w:w="140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36"/>
        </w:trPr>
        <w:tc>
          <w:tcPr>
            <w:tcW w:w="7840" w:type="dxa"/>
            <w:vAlign w:val="bottom"/>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19,720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19,473</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less allowances of $5,094 in 2025 and $4,224 in 2024</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332,206</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322,991</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35,809</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35,497</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32,554</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44,107</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14,267</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13,701</w:t>
            </w:r>
          </w:p>
        </w:tc>
      </w:tr>
      <w:tr>
        <w:trPr>
          <w:trHeight w:val="20"/>
        </w:trPr>
        <w:tc>
          <w:tcPr>
            <w:tcW w:w="7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434,556</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435,769</w:t>
            </w: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4,259,438</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3,790,069</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Less-accumulated depreciation and amortization</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1,415,087</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1,233,134</w:t>
            </w:r>
          </w:p>
        </w:tc>
      </w:tr>
      <w:tr>
        <w:trPr>
          <w:trHeight w:val="20"/>
        </w:trPr>
        <w:tc>
          <w:tcPr>
            <w:tcW w:w="7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2,844,351</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2,556,935</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150,301</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126,828</w:t>
            </w: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 and Identifiable Intangibles, net</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16,442</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37,884</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30,883</w:t>
            </w:r>
          </w:p>
        </w:tc>
      </w:tr>
      <w:tr>
        <w:trPr>
          <w:trHeight w:val="20"/>
        </w:trPr>
        <w:tc>
          <w:tcPr>
            <w:tcW w:w="7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3,482,681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3,166,857</w:t>
            </w:r>
          </w:p>
        </w:tc>
      </w:tr>
      <w:tr>
        <w:trPr>
          <w:trHeight w:val="413"/>
        </w:trPr>
        <w:tc>
          <w:tcPr>
            <w:tcW w:w="7840" w:type="dxa"/>
            <w:vAlign w:val="bottom"/>
            <w:tcBorders>
              <w:top w:val="single" w:sz="8" w:color="CFF0FC"/>
            </w:tcBorders>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107,424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114,560</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Wages, vacation and employees’ benefits</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50,723</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49,953</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Claims and insurance accruals</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46,020</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43,126</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32,342</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38,036</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5,313</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27,895</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27,372</w:t>
            </w:r>
          </w:p>
        </w:tc>
      </w:tr>
      <w:tr>
        <w:trPr>
          <w:trHeight w:val="20"/>
        </w:trPr>
        <w:tc>
          <w:tcPr>
            <w:tcW w:w="7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265,384</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278,360</w:t>
            </w: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163,000</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194,981</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113,119</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96,798</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284,370</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219,062</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Claims, insurance and other</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79,109</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66,385</w:t>
            </w:r>
          </w:p>
        </w:tc>
      </w:tr>
      <w:tr>
        <w:trPr>
          <w:trHeight w:val="20"/>
        </w:trPr>
        <w:tc>
          <w:tcPr>
            <w:tcW w:w="7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liabilities</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639,598</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577,226</w:t>
            </w: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 shares authorized,</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none issued and outstanding</w:t>
            </w:r>
          </w:p>
        </w:tc>
        <w:tc>
          <w:tcPr>
            <w:tcW w:w="3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26,645,402 and 26,598,512 shares issued and outstanding at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3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307,605</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295,106</w:t>
            </w:r>
          </w:p>
        </w:tc>
      </w:tr>
      <w:tr>
        <w:trPr>
          <w:trHeight w:val="198"/>
        </w:trPr>
        <w:tc>
          <w:tcPr>
            <w:tcW w:w="78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Deferred compensation trust, 70,053 and 70,100 shares of common</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at cost at December 31, 2025 and 2024, respectively</w:t>
            </w:r>
          </w:p>
        </w:tc>
        <w:tc>
          <w:tcPr>
            <w:tcW w:w="34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(7,981)</w:t>
            </w:r>
          </w:p>
        </w:tc>
      </w:tr>
      <w:tr>
        <w:trPr>
          <w:trHeight w:val="216"/>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2,279,155</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2,024,119</w:t>
            </w:r>
          </w:p>
        </w:tc>
      </w:tr>
      <w:tr>
        <w:trPr>
          <w:trHeight w:val="20"/>
        </w:trPr>
        <w:tc>
          <w:tcPr>
            <w:tcW w:w="7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2,577,699</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2,311,271</w:t>
            </w:r>
          </w:p>
        </w:tc>
      </w:tr>
      <w:tr>
        <w:trPr>
          <w:trHeight w:val="20"/>
        </w:trPr>
        <w:tc>
          <w:tcPr>
            <w:tcW w:w="7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3,482,681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3,166,857</w:t>
            </w:r>
          </w:p>
        </w:tc>
      </w:tr>
      <w:tr>
        <w:trPr>
          <w:trHeight w:val="20"/>
        </w:trPr>
        <w:tc>
          <w:tcPr>
            <w:tcW w:w="78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-5185410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-5185410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-4062730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-4045585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-2802255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-1971040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-316230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440" w:type="dxa"/>
            <w:vAlign w:val="bottom"/>
            <w:gridSpan w:val="2"/>
            <w:shd w:val="clear" w:color="auto" w:fill="CFF0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3,234,286</w:t>
            </w:r>
          </w:p>
        </w:tc>
        <w:tc>
          <w:tcPr>
            <w:tcW w:w="360" w:type="dxa"/>
            <w:vAlign w:val="bottom"/>
            <w:shd w:val="clear" w:color="auto" w:fill="CFF0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3,209,074</w:t>
            </w:r>
          </w:p>
        </w:tc>
        <w:tc>
          <w:tcPr>
            <w:tcW w:w="32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2,881,433</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Salaries, wages and employees’ benefits</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28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1,579,793</w:t>
            </w:r>
          </w:p>
        </w:tc>
        <w:tc>
          <w:tcPr>
            <w:tcW w:w="36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1,487,847</w:t>
            </w:r>
          </w:p>
        </w:tc>
        <w:tc>
          <w:tcPr>
            <w:tcW w:w="10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1,301,280</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234,595</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237,306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238,688</w:t>
            </w:r>
          </w:p>
        </w:tc>
      </w:tr>
      <w:tr>
        <w:trPr>
          <w:trHeight w:val="216"/>
        </w:trPr>
        <w:tc>
          <w:tcPr>
            <w:tcW w:w="652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28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654,708</w:t>
            </w:r>
          </w:p>
        </w:tc>
        <w:tc>
          <w:tcPr>
            <w:tcW w:w="36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629,402</w:t>
            </w:r>
          </w:p>
        </w:tc>
        <w:tc>
          <w:tcPr>
            <w:tcW w:w="10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563,688</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84,087</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69,542</w:t>
            </w:r>
          </w:p>
        </w:tc>
      </w:tr>
      <w:tr>
        <w:trPr>
          <w:trHeight w:val="216"/>
        </w:trPr>
        <w:tc>
          <w:tcPr>
            <w:tcW w:w="652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Claims and insurance</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28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92,788</w:t>
            </w:r>
          </w:p>
        </w:tc>
        <w:tc>
          <w:tcPr>
            <w:tcW w:w="36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77,649</w:t>
            </w:r>
          </w:p>
        </w:tc>
        <w:tc>
          <w:tcPr>
            <w:tcW w:w="10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67,984</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248,573</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178,845</w:t>
            </w:r>
          </w:p>
        </w:tc>
      </w:tr>
      <w:tr>
        <w:trPr>
          <w:trHeight w:val="216"/>
        </w:trPr>
        <w:tc>
          <w:tcPr>
            <w:tcW w:w="652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Operating (gains) losses, net</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28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(12,458)</w:t>
            </w:r>
          </w:p>
        </w:tc>
        <w:tc>
          <w:tcPr>
            <w:tcW w:w="36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r>
      <w:tr>
        <w:trPr>
          <w:trHeight w:val="20"/>
        </w:trPr>
        <w:tc>
          <w:tcPr>
            <w:tcW w:w="6520" w:type="dxa"/>
            <w:vAlign w:val="bottom"/>
            <w:shd w:val="clear" w:color="auto" w:fill="CFF0FF"/>
          </w:tcPr>
          <w:p>
            <w:pPr>
              <w:spacing w:after="0" w:line="20" w:lineRule="exact"/>
              <w:rPr>
                <w:sz w:val="1"/>
                <w:szCs w:val="1"/>
                <w:color w:val="auto"/>
              </w:rPr>
            </w:pPr>
          </w:p>
        </w:tc>
        <w:tc>
          <w:tcPr>
            <w:tcW w:w="120" w:type="dxa"/>
            <w:vAlign w:val="bottom"/>
            <w:shd w:val="clear" w:color="auto" w:fill="CFF0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F"/>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r>
      <w:tr>
        <w:trPr>
          <w:trHeight w:val="20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2,882,086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2,726,914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2,420,937</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0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352,200</w:t>
            </w:r>
          </w:p>
        </w:tc>
        <w:tc>
          <w:tcPr>
            <w:tcW w:w="220" w:type="dxa"/>
            <w:vAlign w:val="bottom"/>
            <w:shd w:val="clear" w:color="auto" w:fill="CFF0FF"/>
          </w:tcPr>
          <w:p>
            <w:pPr>
              <w:spacing w:after="0"/>
              <w:rPr>
                <w:sz w:val="18"/>
                <w:szCs w:val="18"/>
                <w:color w:val="auto"/>
              </w:rPr>
            </w:pPr>
          </w:p>
        </w:tc>
        <w:tc>
          <w:tcPr>
            <w:tcW w:w="36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482,160</w:t>
            </w:r>
          </w:p>
        </w:tc>
        <w:tc>
          <w:tcPr>
            <w:tcW w:w="10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460,496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(Income):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28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16,444</w:t>
            </w:r>
          </w:p>
        </w:tc>
        <w:tc>
          <w:tcPr>
            <w:tcW w:w="36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2,535</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(6,208)</w:t>
            </w:r>
          </w:p>
        </w:tc>
      </w:tr>
      <w:tr>
        <w:trPr>
          <w:trHeight w:val="216"/>
        </w:trPr>
        <w:tc>
          <w:tcPr>
            <w:tcW w:w="652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28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(1,482)</w:t>
            </w:r>
          </w:p>
        </w:tc>
        <w:tc>
          <w:tcPr>
            <w:tcW w:w="36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(2,058)</w:t>
            </w:r>
          </w:p>
        </w:tc>
      </w:tr>
      <w:tr>
        <w:trPr>
          <w:trHeight w:val="20"/>
        </w:trPr>
        <w:tc>
          <w:tcPr>
            <w:tcW w:w="6520" w:type="dxa"/>
            <w:vAlign w:val="bottom"/>
            <w:shd w:val="clear" w:color="auto" w:fill="CFF0FF"/>
          </w:tcPr>
          <w:p>
            <w:pPr>
              <w:spacing w:after="0" w:line="20" w:lineRule="exact"/>
              <w:rPr>
                <w:sz w:val="1"/>
                <w:szCs w:val="1"/>
                <w:color w:val="auto"/>
              </w:rPr>
            </w:pPr>
          </w:p>
        </w:tc>
        <w:tc>
          <w:tcPr>
            <w:tcW w:w="120" w:type="dxa"/>
            <w:vAlign w:val="bottom"/>
            <w:shd w:val="clear" w:color="auto" w:fill="CFF0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F"/>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r>
      <w:tr>
        <w:trPr>
          <w:trHeight w:val="210"/>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Non-operating expenses (income), net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(5,731)</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0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337,389</w:t>
            </w:r>
          </w:p>
        </w:tc>
        <w:tc>
          <w:tcPr>
            <w:tcW w:w="220" w:type="dxa"/>
            <w:vAlign w:val="bottom"/>
            <w:shd w:val="clear" w:color="auto" w:fill="CFF0FF"/>
          </w:tcPr>
          <w:p>
            <w:pPr>
              <w:spacing w:after="0"/>
              <w:rPr>
                <w:sz w:val="18"/>
                <w:szCs w:val="18"/>
                <w:color w:val="auto"/>
              </w:rPr>
            </w:pPr>
          </w:p>
        </w:tc>
        <w:tc>
          <w:tcPr>
            <w:tcW w:w="36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476,008</w:t>
            </w:r>
          </w:p>
        </w:tc>
        <w:tc>
          <w:tcPr>
            <w:tcW w:w="10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466,227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113,943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111,370</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5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FF0FF"/>
          </w:tcPr>
          <w:p>
            <w:pPr>
              <w:spacing w:after="0"/>
              <w:rPr>
                <w:sz w:val="21"/>
                <w:szCs w:val="21"/>
                <w:color w:val="auto"/>
              </w:rPr>
            </w:pPr>
          </w:p>
        </w:tc>
        <w:tc>
          <w:tcPr>
            <w:tcW w:w="320" w:type="dxa"/>
            <w:vAlign w:val="bottom"/>
            <w:shd w:val="clear" w:color="auto" w:fill="CFF0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255,036</w:t>
            </w:r>
          </w:p>
        </w:tc>
        <w:tc>
          <w:tcPr>
            <w:tcW w:w="220" w:type="dxa"/>
            <w:vAlign w:val="bottom"/>
            <w:shd w:val="clear" w:color="auto" w:fill="CFF0FF"/>
          </w:tcPr>
          <w:p>
            <w:pPr>
              <w:spacing w:after="0"/>
              <w:rPr>
                <w:sz w:val="21"/>
                <w:szCs w:val="21"/>
                <w:color w:val="auto"/>
              </w:rPr>
            </w:pPr>
          </w:p>
        </w:tc>
        <w:tc>
          <w:tcPr>
            <w:tcW w:w="360" w:type="dxa"/>
            <w:vAlign w:val="bottom"/>
            <w:shd w:val="clear" w:color="auto" w:fill="CFF0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362,065</w:t>
            </w:r>
          </w:p>
        </w:tc>
        <w:tc>
          <w:tcPr>
            <w:tcW w:w="32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354,857</w:t>
            </w:r>
          </w:p>
        </w:tc>
      </w:tr>
      <w:tr>
        <w:trPr>
          <w:trHeight w:val="197"/>
        </w:trPr>
        <w:tc>
          <w:tcPr>
            <w:tcW w:w="6520" w:type="dxa"/>
            <w:vAlign w:val="bottom"/>
            <w:tcBorders>
              <w:top w:val="single" w:sz="8" w:color="CFF0FF"/>
            </w:tcBorders>
            <w:shd w:val="clear" w:color="auto" w:fill="CFF0FF"/>
          </w:tcPr>
          <w:p>
            <w:pPr>
              <w:spacing w:after="0"/>
              <w:rPr>
                <w:sz w:val="17"/>
                <w:szCs w:val="17"/>
                <w:color w:val="auto"/>
              </w:rPr>
            </w:pPr>
          </w:p>
        </w:tc>
        <w:tc>
          <w:tcPr>
            <w:tcW w:w="120" w:type="dxa"/>
            <w:vAlign w:val="bottom"/>
            <w:tcBorders>
              <w:top w:val="single" w:sz="8" w:color="CFF0FF"/>
            </w:tcBorders>
            <w:shd w:val="clear" w:color="auto" w:fill="CFF0FF"/>
          </w:tcPr>
          <w:p>
            <w:pPr>
              <w:spacing w:after="0"/>
              <w:rPr>
                <w:sz w:val="17"/>
                <w:szCs w:val="17"/>
                <w:color w:val="auto"/>
              </w:rPr>
            </w:pPr>
          </w:p>
        </w:tc>
        <w:tc>
          <w:tcPr>
            <w:tcW w:w="320" w:type="dxa"/>
            <w:vAlign w:val="bottom"/>
            <w:tcBorders>
              <w:top w:val="single" w:sz="8" w:color="auto"/>
            </w:tcBorders>
            <w:shd w:val="clear" w:color="auto" w:fill="CFF0FF"/>
          </w:tcPr>
          <w:p>
            <w:pPr>
              <w:spacing w:after="0"/>
              <w:rPr>
                <w:sz w:val="17"/>
                <w:szCs w:val="17"/>
                <w:color w:val="auto"/>
              </w:rPr>
            </w:pPr>
          </w:p>
        </w:tc>
        <w:tc>
          <w:tcPr>
            <w:tcW w:w="1060" w:type="dxa"/>
            <w:vAlign w:val="bottom"/>
            <w:tcBorders>
              <w:top w:val="single" w:sz="8" w:color="auto"/>
            </w:tcBorders>
            <w:shd w:val="clear" w:color="auto" w:fill="CFF0FF"/>
          </w:tcPr>
          <w:p>
            <w:pPr>
              <w:spacing w:after="0"/>
              <w:rPr>
                <w:sz w:val="17"/>
                <w:szCs w:val="17"/>
                <w:color w:val="auto"/>
              </w:rPr>
            </w:pPr>
          </w:p>
        </w:tc>
        <w:tc>
          <w:tcPr>
            <w:tcW w:w="220" w:type="dxa"/>
            <w:vAlign w:val="bottom"/>
            <w:tcBorders>
              <w:top w:val="single" w:sz="8" w:color="CFF0FF"/>
            </w:tcBorders>
            <w:shd w:val="clear" w:color="auto" w:fill="CFF0FF"/>
          </w:tcPr>
          <w:p>
            <w:pPr>
              <w:spacing w:after="0"/>
              <w:rPr>
                <w:sz w:val="17"/>
                <w:szCs w:val="17"/>
                <w:color w:val="auto"/>
              </w:rPr>
            </w:pPr>
          </w:p>
        </w:tc>
        <w:tc>
          <w:tcPr>
            <w:tcW w:w="360" w:type="dxa"/>
            <w:vAlign w:val="bottom"/>
            <w:tcBorders>
              <w:top w:val="single" w:sz="8" w:color="auto"/>
            </w:tcBorders>
            <w:shd w:val="clear" w:color="auto" w:fill="CFF0FF"/>
          </w:tcPr>
          <w:p>
            <w:pPr>
              <w:spacing w:after="0"/>
              <w:rPr>
                <w:sz w:val="17"/>
                <w:szCs w:val="17"/>
                <w:color w:val="auto"/>
              </w:rPr>
            </w:pPr>
          </w:p>
        </w:tc>
        <w:tc>
          <w:tcPr>
            <w:tcW w:w="1180" w:type="dxa"/>
            <w:vAlign w:val="bottom"/>
            <w:tcBorders>
              <w:top w:val="single" w:sz="8" w:color="auto"/>
            </w:tcBorders>
            <w:shd w:val="clear" w:color="auto" w:fill="CFF0FF"/>
          </w:tcPr>
          <w:p>
            <w:pPr>
              <w:spacing w:after="0"/>
              <w:rPr>
                <w:sz w:val="17"/>
                <w:szCs w:val="17"/>
                <w:color w:val="auto"/>
              </w:rPr>
            </w:pPr>
          </w:p>
        </w:tc>
        <w:tc>
          <w:tcPr>
            <w:tcW w:w="180" w:type="dxa"/>
            <w:vAlign w:val="bottom"/>
            <w:tcBorders>
              <w:top w:val="single" w:sz="8" w:color="CFF0FF"/>
            </w:tcBorders>
            <w:shd w:val="clear" w:color="auto" w:fill="CFF0FF"/>
          </w:tcPr>
          <w:p>
            <w:pPr>
              <w:spacing w:after="0"/>
              <w:rPr>
                <w:sz w:val="17"/>
                <w:szCs w:val="17"/>
                <w:color w:val="auto"/>
              </w:rPr>
            </w:pPr>
          </w:p>
        </w:tc>
        <w:tc>
          <w:tcPr>
            <w:tcW w:w="100" w:type="dxa"/>
            <w:vAlign w:val="bottom"/>
            <w:tcBorders>
              <w:top w:val="single" w:sz="8" w:color="CFF0FF"/>
            </w:tcBorders>
            <w:shd w:val="clear" w:color="auto" w:fill="CFF0FF"/>
          </w:tcPr>
          <w:p>
            <w:pPr>
              <w:spacing w:after="0"/>
              <w:rPr>
                <w:sz w:val="17"/>
                <w:szCs w:val="17"/>
                <w:color w:val="auto"/>
              </w:rPr>
            </w:pPr>
          </w:p>
        </w:tc>
        <w:tc>
          <w:tcPr>
            <w:tcW w:w="220" w:type="dxa"/>
            <w:vAlign w:val="bottom"/>
            <w:tcBorders>
              <w:top w:val="single" w:sz="8" w:color="auto"/>
            </w:tcBorders>
            <w:shd w:val="clear" w:color="auto" w:fill="CFF0FF"/>
          </w:tcPr>
          <w:p>
            <w:pPr>
              <w:spacing w:after="0"/>
              <w:rPr>
                <w:sz w:val="17"/>
                <w:szCs w:val="17"/>
                <w:color w:val="auto"/>
              </w:rPr>
            </w:pPr>
          </w:p>
        </w:tc>
        <w:tc>
          <w:tcPr>
            <w:tcW w:w="860" w:type="dxa"/>
            <w:vAlign w:val="bottom"/>
            <w:tcBorders>
              <w:top w:val="single" w:sz="8" w:color="auto"/>
            </w:tcBorders>
            <w:shd w:val="clear" w:color="auto" w:fill="CFF0FF"/>
          </w:tcPr>
          <w:p>
            <w:pPr>
              <w:spacing w:after="0"/>
              <w:rPr>
                <w:sz w:val="17"/>
                <w:szCs w:val="17"/>
                <w:color w:val="auto"/>
              </w:rPr>
            </w:pPr>
          </w:p>
        </w:tc>
        <w:tc>
          <w:tcPr>
            <w:tcW w:w="100" w:type="dxa"/>
            <w:vAlign w:val="bottom"/>
            <w:tcBorders>
              <w:top w:val="single" w:sz="8" w:color="CFF0FF"/>
            </w:tcBorders>
            <w:shd w:val="clear" w:color="auto" w:fill="CFF0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26,738</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26,632</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20" w:type="dxa"/>
            <w:vAlign w:val="bottom"/>
            <w:shd w:val="clear" w:color="auto" w:fill="CFF0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20" w:type="dxa"/>
            <w:vAlign w:val="bottom"/>
            <w:shd w:val="clear" w:color="auto" w:fill="CFF0FF"/>
          </w:tcPr>
          <w:p>
            <w:pPr>
              <w:spacing w:after="0"/>
              <w:rPr>
                <w:sz w:val="20"/>
                <w:szCs w:val="20"/>
                <w:color w:val="auto"/>
              </w:rPr>
            </w:pPr>
          </w:p>
        </w:tc>
        <w:tc>
          <w:tcPr>
            <w:tcW w:w="320" w:type="dxa"/>
            <w:vAlign w:val="bottom"/>
            <w:shd w:val="clear" w:color="auto" w:fill="CFF0FF"/>
          </w:tcPr>
          <w:p>
            <w:pPr>
              <w:spacing w:after="0"/>
              <w:rPr>
                <w:sz w:val="20"/>
                <w:szCs w:val="20"/>
                <w:color w:val="auto"/>
              </w:rPr>
            </w:pPr>
          </w:p>
        </w:tc>
        <w:tc>
          <w:tcPr>
            <w:tcW w:w="1280" w:type="dxa"/>
            <w:vAlign w:val="bottom"/>
            <w:gridSpan w:val="2"/>
            <w:shd w:val="clear" w:color="auto" w:fill="CFF0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26,786</w:t>
            </w:r>
          </w:p>
        </w:tc>
        <w:tc>
          <w:tcPr>
            <w:tcW w:w="360" w:type="dxa"/>
            <w:vAlign w:val="bottom"/>
            <w:shd w:val="clear" w:color="auto" w:fill="CFF0FF"/>
          </w:tcPr>
          <w:p>
            <w:pPr>
              <w:spacing w:after="0"/>
              <w:rPr>
                <w:sz w:val="20"/>
                <w:szCs w:val="20"/>
                <w:color w:val="auto"/>
              </w:rPr>
            </w:pPr>
          </w:p>
        </w:tc>
        <w:tc>
          <w:tcPr>
            <w:tcW w:w="1360" w:type="dxa"/>
            <w:vAlign w:val="bottom"/>
            <w:gridSpan w:val="2"/>
            <w:shd w:val="clear" w:color="auto" w:fill="CFF0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26,802</w:t>
            </w:r>
          </w:p>
        </w:tc>
        <w:tc>
          <w:tcPr>
            <w:tcW w:w="100" w:type="dxa"/>
            <w:vAlign w:val="bottom"/>
            <w:shd w:val="clear" w:color="auto" w:fill="CFF0FF"/>
          </w:tcPr>
          <w:p>
            <w:pPr>
              <w:spacing w:after="0"/>
              <w:rPr>
                <w:sz w:val="20"/>
                <w:szCs w:val="20"/>
                <w:color w:val="auto"/>
              </w:rPr>
            </w:pPr>
          </w:p>
        </w:tc>
        <w:tc>
          <w:tcPr>
            <w:tcW w:w="220" w:type="dxa"/>
            <w:vAlign w:val="bottom"/>
            <w:shd w:val="clear" w:color="auto" w:fill="CFF0FF"/>
          </w:tcPr>
          <w:p>
            <w:pPr>
              <w:spacing w:after="0"/>
              <w:rPr>
                <w:sz w:val="20"/>
                <w:szCs w:val="20"/>
                <w:color w:val="auto"/>
              </w:rPr>
            </w:pPr>
          </w:p>
        </w:tc>
        <w:tc>
          <w:tcPr>
            <w:tcW w:w="960" w:type="dxa"/>
            <w:vAlign w:val="bottom"/>
            <w:gridSpan w:val="2"/>
            <w:shd w:val="clear" w:color="auto" w:fill="CFF0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26,763</w:t>
            </w:r>
          </w:p>
        </w:tc>
      </w:tr>
      <w:tr>
        <w:trPr>
          <w:trHeight w:val="197"/>
        </w:trPr>
        <w:tc>
          <w:tcPr>
            <w:tcW w:w="6520" w:type="dxa"/>
            <w:vAlign w:val="bottom"/>
            <w:tcBorders>
              <w:top w:val="single" w:sz="8" w:color="CFF0FF"/>
            </w:tcBorders>
            <w:shd w:val="clear" w:color="auto" w:fill="CFF0FF"/>
          </w:tcPr>
          <w:p>
            <w:pPr>
              <w:spacing w:after="0"/>
              <w:rPr>
                <w:sz w:val="17"/>
                <w:szCs w:val="17"/>
                <w:color w:val="auto"/>
              </w:rPr>
            </w:pPr>
          </w:p>
        </w:tc>
        <w:tc>
          <w:tcPr>
            <w:tcW w:w="120" w:type="dxa"/>
            <w:vAlign w:val="bottom"/>
            <w:tcBorders>
              <w:top w:val="single" w:sz="8" w:color="CFF0FF"/>
            </w:tcBorders>
            <w:shd w:val="clear" w:color="auto" w:fill="CFF0FF"/>
          </w:tcPr>
          <w:p>
            <w:pPr>
              <w:spacing w:after="0"/>
              <w:rPr>
                <w:sz w:val="17"/>
                <w:szCs w:val="17"/>
                <w:color w:val="auto"/>
              </w:rPr>
            </w:pPr>
          </w:p>
        </w:tc>
        <w:tc>
          <w:tcPr>
            <w:tcW w:w="320" w:type="dxa"/>
            <w:vAlign w:val="bottom"/>
            <w:tcBorders>
              <w:top w:val="single" w:sz="8" w:color="auto"/>
            </w:tcBorders>
            <w:shd w:val="clear" w:color="auto" w:fill="CFF0FF"/>
          </w:tcPr>
          <w:p>
            <w:pPr>
              <w:spacing w:after="0"/>
              <w:rPr>
                <w:sz w:val="17"/>
                <w:szCs w:val="17"/>
                <w:color w:val="auto"/>
              </w:rPr>
            </w:pPr>
          </w:p>
        </w:tc>
        <w:tc>
          <w:tcPr>
            <w:tcW w:w="1060" w:type="dxa"/>
            <w:vAlign w:val="bottom"/>
            <w:tcBorders>
              <w:top w:val="single" w:sz="8" w:color="auto"/>
            </w:tcBorders>
            <w:shd w:val="clear" w:color="auto" w:fill="CFF0FF"/>
          </w:tcPr>
          <w:p>
            <w:pPr>
              <w:spacing w:after="0"/>
              <w:rPr>
                <w:sz w:val="17"/>
                <w:szCs w:val="17"/>
                <w:color w:val="auto"/>
              </w:rPr>
            </w:pPr>
          </w:p>
        </w:tc>
        <w:tc>
          <w:tcPr>
            <w:tcW w:w="220" w:type="dxa"/>
            <w:vAlign w:val="bottom"/>
            <w:tcBorders>
              <w:top w:val="single" w:sz="8" w:color="CFF0FF"/>
            </w:tcBorders>
            <w:shd w:val="clear" w:color="auto" w:fill="CFF0FF"/>
          </w:tcPr>
          <w:p>
            <w:pPr>
              <w:spacing w:after="0"/>
              <w:rPr>
                <w:sz w:val="17"/>
                <w:szCs w:val="17"/>
                <w:color w:val="auto"/>
              </w:rPr>
            </w:pPr>
          </w:p>
        </w:tc>
        <w:tc>
          <w:tcPr>
            <w:tcW w:w="360" w:type="dxa"/>
            <w:vAlign w:val="bottom"/>
            <w:tcBorders>
              <w:top w:val="single" w:sz="8" w:color="auto"/>
            </w:tcBorders>
            <w:shd w:val="clear" w:color="auto" w:fill="CFF0FF"/>
          </w:tcPr>
          <w:p>
            <w:pPr>
              <w:spacing w:after="0"/>
              <w:rPr>
                <w:sz w:val="17"/>
                <w:szCs w:val="17"/>
                <w:color w:val="auto"/>
              </w:rPr>
            </w:pPr>
          </w:p>
        </w:tc>
        <w:tc>
          <w:tcPr>
            <w:tcW w:w="1180" w:type="dxa"/>
            <w:vAlign w:val="bottom"/>
            <w:tcBorders>
              <w:top w:val="single" w:sz="8" w:color="auto"/>
            </w:tcBorders>
            <w:shd w:val="clear" w:color="auto" w:fill="CFF0FF"/>
          </w:tcPr>
          <w:p>
            <w:pPr>
              <w:spacing w:after="0"/>
              <w:rPr>
                <w:sz w:val="17"/>
                <w:szCs w:val="17"/>
                <w:color w:val="auto"/>
              </w:rPr>
            </w:pPr>
          </w:p>
        </w:tc>
        <w:tc>
          <w:tcPr>
            <w:tcW w:w="180" w:type="dxa"/>
            <w:vAlign w:val="bottom"/>
            <w:tcBorders>
              <w:top w:val="single" w:sz="8" w:color="CFF0FF"/>
            </w:tcBorders>
            <w:shd w:val="clear" w:color="auto" w:fill="CFF0FF"/>
          </w:tcPr>
          <w:p>
            <w:pPr>
              <w:spacing w:after="0"/>
              <w:rPr>
                <w:sz w:val="17"/>
                <w:szCs w:val="17"/>
                <w:color w:val="auto"/>
              </w:rPr>
            </w:pPr>
          </w:p>
        </w:tc>
        <w:tc>
          <w:tcPr>
            <w:tcW w:w="100" w:type="dxa"/>
            <w:vAlign w:val="bottom"/>
            <w:tcBorders>
              <w:top w:val="single" w:sz="8" w:color="CFF0FF"/>
            </w:tcBorders>
            <w:shd w:val="clear" w:color="auto" w:fill="CFF0FF"/>
          </w:tcPr>
          <w:p>
            <w:pPr>
              <w:spacing w:after="0"/>
              <w:rPr>
                <w:sz w:val="17"/>
                <w:szCs w:val="17"/>
                <w:color w:val="auto"/>
              </w:rPr>
            </w:pPr>
          </w:p>
        </w:tc>
        <w:tc>
          <w:tcPr>
            <w:tcW w:w="220" w:type="dxa"/>
            <w:vAlign w:val="bottom"/>
            <w:tcBorders>
              <w:top w:val="single" w:sz="8" w:color="auto"/>
            </w:tcBorders>
            <w:shd w:val="clear" w:color="auto" w:fill="CFF0FF"/>
          </w:tcPr>
          <w:p>
            <w:pPr>
              <w:spacing w:after="0"/>
              <w:rPr>
                <w:sz w:val="17"/>
                <w:szCs w:val="17"/>
                <w:color w:val="auto"/>
              </w:rPr>
            </w:pPr>
          </w:p>
        </w:tc>
        <w:tc>
          <w:tcPr>
            <w:tcW w:w="860" w:type="dxa"/>
            <w:vAlign w:val="bottom"/>
            <w:tcBorders>
              <w:top w:val="single" w:sz="8" w:color="auto"/>
            </w:tcBorders>
            <w:shd w:val="clear" w:color="auto" w:fill="CFF0FF"/>
          </w:tcPr>
          <w:p>
            <w:pPr>
              <w:spacing w:after="0"/>
              <w:rPr>
                <w:sz w:val="17"/>
                <w:szCs w:val="17"/>
                <w:color w:val="auto"/>
              </w:rPr>
            </w:pPr>
          </w:p>
        </w:tc>
        <w:tc>
          <w:tcPr>
            <w:tcW w:w="100" w:type="dxa"/>
            <w:vAlign w:val="bottom"/>
            <w:tcBorders>
              <w:top w:val="single" w:sz="8" w:color="CFF0FF"/>
            </w:tcBorders>
            <w:shd w:val="clear" w:color="auto" w:fill="CFF0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520" w:type="dxa"/>
            <w:vAlign w:val="bottom"/>
            <w:shd w:val="clear" w:color="auto" w:fill="CFF0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0" w:type="dxa"/>
            <w:vAlign w:val="bottom"/>
            <w:shd w:val="clear" w:color="auto" w:fill="CFF0FF"/>
          </w:tcPr>
          <w:p>
            <w:pPr>
              <w:spacing w:after="0"/>
              <w:rPr>
                <w:sz w:val="18"/>
                <w:szCs w:val="18"/>
                <w:color w:val="auto"/>
              </w:rPr>
            </w:pPr>
          </w:p>
        </w:tc>
        <w:tc>
          <w:tcPr>
            <w:tcW w:w="320" w:type="dxa"/>
            <w:vAlign w:val="bottom"/>
            <w:shd w:val="clear" w:color="auto" w:fill="CFF0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9.52</w:t>
            </w:r>
          </w:p>
        </w:tc>
        <w:tc>
          <w:tcPr>
            <w:tcW w:w="220" w:type="dxa"/>
            <w:vAlign w:val="bottom"/>
            <w:shd w:val="clear" w:color="auto" w:fill="CFF0FF"/>
          </w:tcPr>
          <w:p>
            <w:pPr>
              <w:spacing w:after="0"/>
              <w:rPr>
                <w:sz w:val="18"/>
                <w:szCs w:val="18"/>
                <w:color w:val="auto"/>
              </w:rPr>
            </w:pPr>
          </w:p>
        </w:tc>
        <w:tc>
          <w:tcPr>
            <w:tcW w:w="360" w:type="dxa"/>
            <w:vAlign w:val="bottom"/>
            <w:shd w:val="clear" w:color="auto" w:fill="CFF0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13.51</w:t>
            </w:r>
          </w:p>
        </w:tc>
        <w:tc>
          <w:tcPr>
            <w:tcW w:w="320" w:type="dxa"/>
            <w:vAlign w:val="bottom"/>
            <w:gridSpan w:val="2"/>
            <w:shd w:val="clear" w:color="auto" w:fill="CFF0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13.26</w:t>
            </w:r>
          </w:p>
        </w:tc>
      </w:tr>
      <w:tr>
        <w:trPr>
          <w:trHeight w:val="20"/>
        </w:trPr>
        <w:tc>
          <w:tcPr>
            <w:tcW w:w="6520" w:type="dxa"/>
            <w:vAlign w:val="bottom"/>
            <w:tcBorders>
              <w:top w:val="single" w:sz="8" w:color="CFF0FF"/>
            </w:tcBorders>
            <w:shd w:val="clear" w:color="auto" w:fill="CFF0FF"/>
          </w:tcPr>
          <w:p>
            <w:pPr>
              <w:spacing w:after="0" w:line="20" w:lineRule="exact"/>
              <w:rPr>
                <w:sz w:val="1"/>
                <w:szCs w:val="1"/>
                <w:color w:val="auto"/>
              </w:rPr>
            </w:pPr>
          </w:p>
        </w:tc>
        <w:tc>
          <w:tcPr>
            <w:tcW w:w="120" w:type="dxa"/>
            <w:vAlign w:val="bottom"/>
            <w:tcBorders>
              <w:top w:val="single" w:sz="8" w:color="CFF0FF"/>
            </w:tcBorders>
            <w:shd w:val="clear" w:color="auto" w:fill="CFF0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F"/>
            </w:tcBorders>
            <w:shd w:val="clear" w:color="auto" w:fill="CFF0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-2365375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-2365375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-1525270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-1525270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-950595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-933450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-950595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-933450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-488315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-471170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-488315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-471170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0"/>
                <w:szCs w:val="20"/>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4400" w:type="dxa"/>
            <w:vAlign w:val="bottom"/>
            <w:gridSpan w:val="2"/>
            <w:shd w:val="clear" w:color="auto" w:fill="CFF0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1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$277,366</w:t>
            </w:r>
          </w:p>
        </w:tc>
        <w:tc>
          <w:tcPr>
            <w:tcW w:w="100" w:type="dxa"/>
            <w:vAlign w:val="bottom"/>
            <w:shd w:val="clear" w:color="auto" w:fill="CFF0FF"/>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$1,307,197</w:t>
            </w: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$1,579,341</w:t>
            </w:r>
          </w:p>
        </w:tc>
        <w:tc>
          <w:tcPr>
            <w:tcW w:w="20" w:type="dxa"/>
            <w:vAlign w:val="bottom"/>
          </w:tcPr>
          <w:p>
            <w:pPr>
              <w:spacing w:after="0"/>
              <w:rPr>
                <w:sz w:val="17"/>
                <w:szCs w:val="17"/>
                <w:color w:val="auto"/>
              </w:rPr>
            </w:pPr>
          </w:p>
        </w:tc>
      </w:tr>
      <w:tr>
        <w:trPr>
          <w:trHeight w:val="20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Stock compensation, including options and long-term incentives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20" w:type="dxa"/>
            <w:vAlign w:val="bottom"/>
          </w:tcPr>
          <w:p>
            <w:pPr>
              <w:spacing w:after="0"/>
              <w:rPr>
                <w:sz w:val="17"/>
                <w:szCs w:val="17"/>
                <w:color w:val="auto"/>
              </w:rPr>
            </w:pPr>
          </w:p>
        </w:tc>
      </w:tr>
      <w:tr>
        <w:trPr>
          <w:trHeight w:val="203"/>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Director deferred share activity</w:t>
            </w: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F"/>
          </w:tcPr>
          <w:p>
            <w:pPr>
              <w:spacing w:after="0"/>
              <w:rPr>
                <w:sz w:val="17"/>
                <w:szCs w:val="17"/>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FF0FF"/>
          </w:tcPr>
          <w:p>
            <w:pPr>
              <w:spacing w:after="0"/>
              <w:rPr>
                <w:sz w:val="17"/>
                <w:szCs w:val="17"/>
                <w:color w:val="auto"/>
              </w:rPr>
            </w:pPr>
          </w:p>
        </w:tc>
        <w:tc>
          <w:tcPr>
            <w:tcW w:w="146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20" w:type="dxa"/>
            <w:vAlign w:val="bottom"/>
          </w:tcPr>
          <w:p>
            <w:pPr>
              <w:spacing w:after="0"/>
              <w:rPr>
                <w:sz w:val="17"/>
                <w:szCs w:val="17"/>
                <w:color w:val="auto"/>
              </w:rPr>
            </w:pPr>
          </w:p>
        </w:tc>
      </w:tr>
      <w:tr>
        <w:trPr>
          <w:trHeight w:val="20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Exercise of stock options less shares withheld 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20" w:type="dxa"/>
            <w:vAlign w:val="bottom"/>
          </w:tcPr>
          <w:p>
            <w:pPr>
              <w:spacing w:after="0"/>
              <w:rPr>
                <w:sz w:val="17"/>
                <w:szCs w:val="17"/>
                <w:color w:val="auto"/>
              </w:rPr>
            </w:pPr>
          </w:p>
        </w:tc>
      </w:tr>
      <w:tr>
        <w:trPr>
          <w:trHeight w:val="189"/>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Shares issued for long-term incentive awards, net of shares</w:t>
            </w:r>
          </w:p>
        </w:tc>
        <w:tc>
          <w:tcPr>
            <w:tcW w:w="920" w:type="dxa"/>
            <w:vAlign w:val="bottom"/>
            <w:shd w:val="clear" w:color="auto" w:fill="CFF0FF"/>
          </w:tcPr>
          <w:p>
            <w:pPr>
              <w:spacing w:after="0"/>
              <w:rPr>
                <w:sz w:val="16"/>
                <w:szCs w:val="16"/>
                <w:color w:val="auto"/>
              </w:rPr>
            </w:pPr>
          </w:p>
        </w:tc>
        <w:tc>
          <w:tcPr>
            <w:tcW w:w="120" w:type="dxa"/>
            <w:vAlign w:val="bottom"/>
            <w:shd w:val="clear" w:color="auto" w:fill="CFF0FF"/>
          </w:tcPr>
          <w:p>
            <w:pPr>
              <w:spacing w:after="0"/>
              <w:rPr>
                <w:sz w:val="16"/>
                <w:szCs w:val="16"/>
                <w:color w:val="auto"/>
              </w:rPr>
            </w:pPr>
          </w:p>
        </w:tc>
        <w:tc>
          <w:tcPr>
            <w:tcW w:w="900" w:type="dxa"/>
            <w:vAlign w:val="bottom"/>
            <w:shd w:val="clear" w:color="auto" w:fill="CFF0FF"/>
          </w:tcPr>
          <w:p>
            <w:pPr>
              <w:spacing w:after="0"/>
              <w:rPr>
                <w:sz w:val="16"/>
                <w:szCs w:val="16"/>
                <w:color w:val="auto"/>
              </w:rPr>
            </w:pPr>
          </w:p>
        </w:tc>
        <w:tc>
          <w:tcPr>
            <w:tcW w:w="120" w:type="dxa"/>
            <w:vAlign w:val="bottom"/>
            <w:shd w:val="clear" w:color="auto" w:fill="CFF0FF"/>
          </w:tcPr>
          <w:p>
            <w:pPr>
              <w:spacing w:after="0"/>
              <w:rPr>
                <w:sz w:val="16"/>
                <w:szCs w:val="16"/>
                <w:color w:val="auto"/>
              </w:rPr>
            </w:pPr>
          </w:p>
        </w:tc>
        <w:tc>
          <w:tcPr>
            <w:tcW w:w="1120" w:type="dxa"/>
            <w:vAlign w:val="bottom"/>
            <w:shd w:val="clear" w:color="auto" w:fill="CFF0FF"/>
          </w:tcPr>
          <w:p>
            <w:pPr>
              <w:spacing w:after="0"/>
              <w:rPr>
                <w:sz w:val="16"/>
                <w:szCs w:val="16"/>
                <w:color w:val="auto"/>
              </w:rPr>
            </w:pPr>
          </w:p>
        </w:tc>
        <w:tc>
          <w:tcPr>
            <w:tcW w:w="100" w:type="dxa"/>
            <w:vAlign w:val="bottom"/>
            <w:shd w:val="clear" w:color="auto" w:fill="CFF0FF"/>
          </w:tcPr>
          <w:p>
            <w:pPr>
              <w:spacing w:after="0"/>
              <w:rPr>
                <w:sz w:val="16"/>
                <w:szCs w:val="16"/>
                <w:color w:val="auto"/>
              </w:rPr>
            </w:pPr>
          </w:p>
        </w:tc>
        <w:tc>
          <w:tcPr>
            <w:tcW w:w="1340" w:type="dxa"/>
            <w:vAlign w:val="bottom"/>
            <w:shd w:val="clear" w:color="auto" w:fill="CFF0FF"/>
          </w:tcPr>
          <w:p>
            <w:pPr>
              <w:spacing w:after="0"/>
              <w:rPr>
                <w:sz w:val="16"/>
                <w:szCs w:val="16"/>
                <w:color w:val="auto"/>
              </w:rPr>
            </w:pPr>
          </w:p>
        </w:tc>
        <w:tc>
          <w:tcPr>
            <w:tcW w:w="120" w:type="dxa"/>
            <w:vAlign w:val="bottom"/>
            <w:shd w:val="clear" w:color="auto" w:fill="CFF0FF"/>
          </w:tcPr>
          <w:p>
            <w:pPr>
              <w:spacing w:after="0"/>
              <w:rPr>
                <w:sz w:val="16"/>
                <w:szCs w:val="16"/>
                <w:color w:val="auto"/>
              </w:rPr>
            </w:pPr>
          </w:p>
        </w:tc>
        <w:tc>
          <w:tcPr>
            <w:tcW w:w="1000" w:type="dxa"/>
            <w:vAlign w:val="bottom"/>
            <w:shd w:val="clear" w:color="auto" w:fill="CFF0FF"/>
          </w:tcPr>
          <w:p>
            <w:pPr>
              <w:spacing w:after="0"/>
              <w:rPr>
                <w:sz w:val="16"/>
                <w:szCs w:val="16"/>
                <w:color w:val="auto"/>
              </w:rPr>
            </w:pPr>
          </w:p>
        </w:tc>
        <w:tc>
          <w:tcPr>
            <w:tcW w:w="100" w:type="dxa"/>
            <w:vAlign w:val="bottom"/>
            <w:shd w:val="clear" w:color="auto" w:fill="CFF0FF"/>
          </w:tcPr>
          <w:p>
            <w:pPr>
              <w:spacing w:after="0"/>
              <w:rPr>
                <w:sz w:val="16"/>
                <w:szCs w:val="16"/>
                <w:color w:val="auto"/>
              </w:rPr>
            </w:pPr>
          </w:p>
        </w:tc>
        <w:tc>
          <w:tcPr>
            <w:tcW w:w="1000" w:type="dxa"/>
            <w:vAlign w:val="bottom"/>
            <w:shd w:val="clear" w:color="auto" w:fill="CFF0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withheld for taxes</w:t>
            </w: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40" w:type="dxa"/>
            <w:vAlign w:val="bottom"/>
            <w:gridSpan w:val="3"/>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(9,216)</w:t>
            </w:r>
          </w:p>
        </w:tc>
        <w:tc>
          <w:tcPr>
            <w:tcW w:w="146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(9,215)</w:t>
            </w:r>
          </w:p>
        </w:tc>
        <w:tc>
          <w:tcPr>
            <w:tcW w:w="20" w:type="dxa"/>
            <w:vAlign w:val="bottom"/>
          </w:tcPr>
          <w:p>
            <w:pPr>
              <w:spacing w:after="0"/>
              <w:rPr>
                <w:sz w:val="18"/>
                <w:szCs w:val="18"/>
                <w:color w:val="auto"/>
              </w:rPr>
            </w:pPr>
          </w:p>
        </w:tc>
      </w:tr>
      <w:tr>
        <w:trPr>
          <w:trHeight w:val="20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 of shares by Deferred Compensation Trust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Sale of shares by Deferred Compensation Trust</w:t>
            </w: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F"/>
          </w:tcPr>
          <w:p>
            <w:pPr>
              <w:spacing w:after="0"/>
              <w:rPr>
                <w:sz w:val="17"/>
                <w:szCs w:val="17"/>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(189)</w:t>
            </w:r>
          </w:p>
        </w:tc>
        <w:tc>
          <w:tcPr>
            <w:tcW w:w="146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6"/>
                <w:szCs w:val="16"/>
                <w:color w:val="auto"/>
              </w:rPr>
              <w:t>189</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354,857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354,857</w:t>
            </w:r>
          </w:p>
        </w:tc>
        <w:tc>
          <w:tcPr>
            <w:tcW w:w="20" w:type="dxa"/>
            <w:vAlign w:val="bottom"/>
          </w:tcPr>
          <w:p>
            <w:pPr>
              <w:spacing w:after="0"/>
              <w:rPr>
                <w:sz w:val="17"/>
                <w:szCs w:val="17"/>
                <w:color w:val="auto"/>
              </w:rPr>
            </w:pPr>
          </w:p>
        </w:tc>
      </w:tr>
      <w:tr>
        <w:trPr>
          <w:trHeight w:val="237"/>
        </w:trPr>
        <w:tc>
          <w:tcPr>
            <w:tcW w:w="4280" w:type="dxa"/>
            <w:vAlign w:val="bottom"/>
            <w:shd w:val="clear" w:color="auto" w:fill="CFF0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26,549</w:t>
            </w:r>
          </w:p>
        </w:tc>
        <w:tc>
          <w:tcPr>
            <w:tcW w:w="1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285,092</w:t>
            </w:r>
          </w:p>
        </w:tc>
        <w:tc>
          <w:tcPr>
            <w:tcW w:w="100" w:type="dxa"/>
            <w:vAlign w:val="bottom"/>
            <w:shd w:val="clear" w:color="auto" w:fill="CFF0FF"/>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1,662,054</w:t>
            </w:r>
          </w:p>
        </w:tc>
        <w:tc>
          <w:tcPr>
            <w:tcW w:w="1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1,941,494</w:t>
            </w:r>
          </w:p>
        </w:tc>
        <w:tc>
          <w:tcPr>
            <w:tcW w:w="20" w:type="dxa"/>
            <w:vAlign w:val="bottom"/>
          </w:tcPr>
          <w:p>
            <w:pPr>
              <w:spacing w:after="0"/>
              <w:rPr>
                <w:sz w:val="20"/>
                <w:szCs w:val="20"/>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including options and long-term incentives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12,822</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12,822</w:t>
            </w:r>
          </w:p>
        </w:tc>
        <w:tc>
          <w:tcPr>
            <w:tcW w:w="20" w:type="dxa"/>
            <w:vAlign w:val="bottom"/>
          </w:tcPr>
          <w:p>
            <w:pPr>
              <w:spacing w:after="0"/>
              <w:rPr>
                <w:sz w:val="17"/>
                <w:szCs w:val="17"/>
                <w:color w:val="auto"/>
              </w:rPr>
            </w:pPr>
          </w:p>
        </w:tc>
      </w:tr>
      <w:tr>
        <w:trPr>
          <w:trHeight w:val="203"/>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Director deferred share activity</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20" w:type="dxa"/>
            <w:vAlign w:val="bottom"/>
          </w:tcPr>
          <w:p>
            <w:pPr>
              <w:spacing w:after="0"/>
              <w:rPr>
                <w:sz w:val="17"/>
                <w:szCs w:val="17"/>
                <w:color w:val="auto"/>
              </w:rPr>
            </w:pPr>
          </w:p>
        </w:tc>
      </w:tr>
      <w:tr>
        <w:trPr>
          <w:trHeight w:val="20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Exercise of stock options less shares withheld 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20" w:type="dxa"/>
            <w:vAlign w:val="bottom"/>
          </w:tcPr>
          <w:p>
            <w:pPr>
              <w:spacing w:after="0"/>
              <w:rPr>
                <w:sz w:val="17"/>
                <w:szCs w:val="17"/>
                <w:color w:val="auto"/>
              </w:rPr>
            </w:pPr>
          </w:p>
        </w:tc>
      </w:tr>
      <w:tr>
        <w:trPr>
          <w:trHeight w:val="189"/>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Shares issued for long-term incentive awards, net of shares</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F"/>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F"/>
          </w:tcPr>
          <w:p>
            <w:pPr>
              <w:spacing w:after="0"/>
              <w:rPr>
                <w:sz w:val="16"/>
                <w:szCs w:val="16"/>
                <w:color w:val="auto"/>
              </w:rPr>
            </w:pPr>
          </w:p>
        </w:tc>
        <w:tc>
          <w:tcPr>
            <w:tcW w:w="100" w:type="dxa"/>
            <w:vAlign w:val="bottom"/>
            <w:shd w:val="clear" w:color="auto" w:fill="CFF0FF"/>
          </w:tcPr>
          <w:p>
            <w:pPr>
              <w:spacing w:after="0"/>
              <w:rPr>
                <w:sz w:val="16"/>
                <w:szCs w:val="16"/>
                <w:color w:val="auto"/>
              </w:rPr>
            </w:pPr>
          </w:p>
        </w:tc>
        <w:tc>
          <w:tcPr>
            <w:tcW w:w="1000" w:type="dxa"/>
            <w:vAlign w:val="bottom"/>
            <w:shd w:val="clear" w:color="auto" w:fill="CFF0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withheld for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FF0FC"/>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(9,107)</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(9,107)</w:t>
            </w:r>
          </w:p>
        </w:tc>
        <w:tc>
          <w:tcPr>
            <w:tcW w:w="20" w:type="dxa"/>
            <w:vAlign w:val="bottom"/>
          </w:tcPr>
          <w:p>
            <w:pPr>
              <w:spacing w:after="0"/>
              <w:rPr>
                <w:sz w:val="18"/>
                <w:szCs w:val="18"/>
                <w:color w:val="auto"/>
              </w:rPr>
            </w:pPr>
          </w:p>
        </w:tc>
      </w:tr>
      <w:tr>
        <w:trPr>
          <w:trHeight w:val="20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 of shares by Deferred Compensation Trust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2"/>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Sale of shares by Deferred Compensation Trust</w:t>
            </w: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F"/>
          </w:tcPr>
          <w:p>
            <w:pPr>
              <w:spacing w:after="0"/>
              <w:rPr>
                <w:sz w:val="17"/>
                <w:szCs w:val="17"/>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(717)</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717</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362,065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362,065</w:t>
            </w:r>
          </w:p>
        </w:tc>
        <w:tc>
          <w:tcPr>
            <w:tcW w:w="20" w:type="dxa"/>
            <w:vAlign w:val="bottom"/>
          </w:tcPr>
          <w:p>
            <w:pPr>
              <w:spacing w:after="0"/>
              <w:rPr>
                <w:sz w:val="17"/>
                <w:szCs w:val="17"/>
                <w:color w:val="auto"/>
              </w:rPr>
            </w:pPr>
          </w:p>
        </w:tc>
      </w:tr>
      <w:tr>
        <w:trPr>
          <w:trHeight w:val="237"/>
        </w:trPr>
        <w:tc>
          <w:tcPr>
            <w:tcW w:w="4280" w:type="dxa"/>
            <w:vAlign w:val="bottom"/>
            <w:shd w:val="clear" w:color="auto" w:fill="CFF0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26,599</w:t>
            </w:r>
          </w:p>
        </w:tc>
        <w:tc>
          <w:tcPr>
            <w:tcW w:w="1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295,106</w:t>
            </w:r>
          </w:p>
        </w:tc>
        <w:tc>
          <w:tcPr>
            <w:tcW w:w="100" w:type="dxa"/>
            <w:vAlign w:val="bottom"/>
            <w:shd w:val="clear" w:color="auto" w:fill="CFF0FF"/>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(7,981)</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2,024,119</w:t>
            </w:r>
          </w:p>
        </w:tc>
        <w:tc>
          <w:tcPr>
            <w:tcW w:w="1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2,311,271</w:t>
            </w:r>
          </w:p>
        </w:tc>
        <w:tc>
          <w:tcPr>
            <w:tcW w:w="20" w:type="dxa"/>
            <w:vAlign w:val="bottom"/>
          </w:tcPr>
          <w:p>
            <w:pPr>
              <w:spacing w:after="0"/>
              <w:rPr>
                <w:sz w:val="20"/>
                <w:szCs w:val="20"/>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including options and long-term incentives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16,204</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16,204</w:t>
            </w:r>
          </w:p>
        </w:tc>
        <w:tc>
          <w:tcPr>
            <w:tcW w:w="20" w:type="dxa"/>
            <w:vAlign w:val="bottom"/>
          </w:tcPr>
          <w:p>
            <w:pPr>
              <w:spacing w:after="0"/>
              <w:rPr>
                <w:sz w:val="17"/>
                <w:szCs w:val="17"/>
                <w:color w:val="auto"/>
              </w:rPr>
            </w:pPr>
          </w:p>
        </w:tc>
      </w:tr>
      <w:tr>
        <w:trPr>
          <w:trHeight w:val="203"/>
        </w:trPr>
        <w:tc>
          <w:tcPr>
            <w:tcW w:w="428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Director deferred share activity</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20" w:type="dxa"/>
            <w:vAlign w:val="bottom"/>
          </w:tcPr>
          <w:p>
            <w:pPr>
              <w:spacing w:after="0"/>
              <w:rPr>
                <w:sz w:val="17"/>
                <w:szCs w:val="17"/>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 less shares withheld for taxes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20" w:type="dxa"/>
            <w:vAlign w:val="bottom"/>
          </w:tcPr>
          <w:p>
            <w:pPr>
              <w:spacing w:after="0"/>
              <w:rPr>
                <w:sz w:val="17"/>
                <w:szCs w:val="17"/>
                <w:color w:val="auto"/>
              </w:rPr>
            </w:pPr>
          </w:p>
        </w:tc>
      </w:tr>
      <w:tr>
        <w:trPr>
          <w:trHeight w:val="189"/>
        </w:trPr>
        <w:tc>
          <w:tcPr>
            <w:tcW w:w="428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Shares issued for long-term incentive awards, net of shares</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F"/>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F"/>
          </w:tcPr>
          <w:p>
            <w:pPr>
              <w:spacing w:after="0"/>
              <w:rPr>
                <w:sz w:val="16"/>
                <w:szCs w:val="16"/>
                <w:color w:val="auto"/>
              </w:rPr>
            </w:pPr>
          </w:p>
        </w:tc>
        <w:tc>
          <w:tcPr>
            <w:tcW w:w="100" w:type="dxa"/>
            <w:vAlign w:val="bottom"/>
            <w:shd w:val="clear" w:color="auto" w:fill="CFF0FF"/>
          </w:tcPr>
          <w:p>
            <w:pPr>
              <w:spacing w:after="0"/>
              <w:rPr>
                <w:sz w:val="16"/>
                <w:szCs w:val="16"/>
                <w:color w:val="auto"/>
              </w:rPr>
            </w:pPr>
          </w:p>
        </w:tc>
        <w:tc>
          <w:tcPr>
            <w:tcW w:w="1000" w:type="dxa"/>
            <w:vAlign w:val="bottom"/>
            <w:shd w:val="clear" w:color="auto" w:fill="CFF0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28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withheld for taxes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(8,666)</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(8,666)</w:t>
            </w:r>
          </w:p>
        </w:tc>
        <w:tc>
          <w:tcPr>
            <w:tcW w:w="20" w:type="dxa"/>
            <w:vAlign w:val="bottom"/>
          </w:tcPr>
          <w:p>
            <w:pPr>
              <w:spacing w:after="0"/>
              <w:rPr>
                <w:sz w:val="18"/>
                <w:szCs w:val="18"/>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shares by Deferred Compensation Trust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440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Sale of shares by Deferred Compensation Trust</w:t>
            </w: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F"/>
          </w:tcPr>
          <w:p>
            <w:pPr>
              <w:spacing w:after="0"/>
              <w:rPr>
                <w:sz w:val="17"/>
                <w:szCs w:val="17"/>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(709)</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709</w:t>
            </w:r>
          </w:p>
        </w:tc>
        <w:tc>
          <w:tcPr>
            <w:tcW w:w="110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37"/>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255,036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255,036</w:t>
            </w:r>
          </w:p>
        </w:tc>
        <w:tc>
          <w:tcPr>
            <w:tcW w:w="20" w:type="dxa"/>
            <w:vAlign w:val="bottom"/>
          </w:tcPr>
          <w:p>
            <w:pPr>
              <w:spacing w:after="0"/>
              <w:rPr>
                <w:sz w:val="20"/>
                <w:szCs w:val="20"/>
                <w:color w:val="auto"/>
              </w:rPr>
            </w:pPr>
          </w:p>
        </w:tc>
      </w:tr>
      <w:tr>
        <w:trPr>
          <w:trHeight w:val="243"/>
        </w:trPr>
        <w:tc>
          <w:tcPr>
            <w:tcW w:w="4280" w:type="dxa"/>
            <w:vAlign w:val="bottom"/>
            <w:tcBorders>
              <w:top w:val="single" w:sz="8" w:color="CFF0FF"/>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0" w:type="dxa"/>
            <w:vAlign w:val="bottom"/>
            <w:tcBorders>
              <w:top w:val="single" w:sz="8" w:color="CFF0FC"/>
              <w:bottom w:val="single" w:sz="8" w:color="CFF0FF"/>
            </w:tcBorders>
            <w:shd w:val="clear" w:color="auto" w:fill="CFF0FF"/>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26,645</w:t>
            </w:r>
          </w:p>
        </w:tc>
        <w:tc>
          <w:tcPr>
            <w:tcW w:w="120" w:type="dxa"/>
            <w:vAlign w:val="bottom"/>
            <w:tcBorders>
              <w:top w:val="single" w:sz="8" w:color="CFF0FC"/>
              <w:bottom w:val="single" w:sz="8" w:color="CFF0FF"/>
            </w:tcBorders>
            <w:shd w:val="clear" w:color="auto" w:fill="CFF0FF"/>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top w:val="single" w:sz="8" w:color="CFF0FC"/>
              <w:bottom w:val="single" w:sz="8" w:color="CFF0FF"/>
            </w:tcBorders>
            <w:shd w:val="clear" w:color="auto" w:fill="CFF0FF"/>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$307,605</w:t>
            </w:r>
          </w:p>
        </w:tc>
        <w:tc>
          <w:tcPr>
            <w:tcW w:w="100" w:type="dxa"/>
            <w:vAlign w:val="bottom"/>
            <w:tcBorders>
              <w:top w:val="single" w:sz="8" w:color="CFF0FF"/>
              <w:bottom w:val="single" w:sz="8" w:color="CFF0FF"/>
            </w:tcBorders>
            <w:shd w:val="clear" w:color="auto" w:fill="CFF0FF"/>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$(9,088)</w:t>
            </w:r>
          </w:p>
        </w:tc>
        <w:tc>
          <w:tcPr>
            <w:tcW w:w="120" w:type="dxa"/>
            <w:vAlign w:val="bottom"/>
            <w:tcBorders>
              <w:top w:val="single" w:sz="8" w:color="CFF0FC"/>
              <w:bottom w:val="single" w:sz="8" w:color="CFF0FF"/>
            </w:tcBorders>
            <w:shd w:val="clear" w:color="auto" w:fill="CFF0FF"/>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$2,279,155</w:t>
            </w:r>
          </w:p>
        </w:tc>
        <w:tc>
          <w:tcPr>
            <w:tcW w:w="100" w:type="dxa"/>
            <w:vAlign w:val="bottom"/>
            <w:tcBorders>
              <w:top w:val="single" w:sz="8" w:color="CFF0FC"/>
              <w:bottom w:val="single" w:sz="8" w:color="CFF0FF"/>
            </w:tcBorders>
            <w:shd w:val="clear" w:color="auto" w:fill="CFF0FF"/>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$2,577,699</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2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$362,065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Noncash items included in net income:</w:t>
            </w: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248,573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210,105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loss from property disposals, net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other assets and liabilities, net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(58,344)</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594,973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583,702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(567,639)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(1,043,557)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(1,035,864)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(1,060,100)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Borrowings of revolving credit facility</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1,154,100</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on private shelf agreement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Repayment of finance leases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activity</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(42,204)</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175,420</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(276,742)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296,215</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187,390</w:t>
            </w: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-2545080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-2545080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-1988185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-1988185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-590550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-590550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-307975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-307975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1413" w:right="6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 and Summary of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Saia, Inc., and its subsidiaries (Saia or the Company), is headquartered in Johns Creek, Georgia. Saia is a leading, less-than-truckload (LTL) motor carrier with approximately 97% of its revenue derived from transporting LTL shipments for customers. In addition to the core LTL services provided in the United States, the Company also offers customers a wide range of other value-added services, including brokered truckload and expedited transportation and other logistics services across North America.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Saia, Inc. and its wholly-owned subsidiaries. All significant intercompany accounts and transactions have been eliminated in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generally accepted accounting principles requires the use of estimates and assumptions that affect the reported amounts of assets and liabilities and the reported amounts of revenues and expenses. Management makes its best estimate of the ultimate outcome for these items based on historical trends and other information available when the financial statements are prepared. Changes in estimates are recognized in accordance with the accounting rules for the estimate, which is typically in the period when new information becomes available to management. Areas where the nature of the estimate makes it reasonably possible that actual results could materially differ from amounts estimated include: revenue reserves; self-insurance accruals; long-term incentive compensation; tax liabilities; loss contingencies; litigation claims; and impairment assessments on long-lived assets and goodwill.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 in 2025</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Under this ASU, income tax disclosures are expanded primarily by requiring the disaggregation of the rate reconciliation and income taxes paid disclosures. This standard became effective for annual reporting periods beginning after December 15, 2024. The Company adopted the standard on a retrospective basis for the 2025 annual reporting period with the impact limited to incremental disclosures in our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Under this ASU, entities are required to disclose additional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certain expense captions included in the Consolidated Statements of Operations. This standard is effective for annual reporting periods beginning after December 15, 2026 and interim reporting periods beginning after December 15, 2027. The Company is currently evaluating the impact of this standard on its consolidated financial statements and related disclosures.</w:t>
      </w:r>
    </w:p>
    <w:p>
      <w:pPr>
        <w:spacing w:after="0" w:line="29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Accounts Receivable and Contract Assets." </w:t>
      </w:r>
      <w:r>
        <w:rPr>
          <w:rFonts w:ascii="Times New Roman" w:cs="Times New Roman" w:eastAsia="Times New Roman" w:hAnsi="Times New Roman"/>
          <w:sz w:val="18"/>
          <w:szCs w:val="18"/>
          <w:color w:val="auto"/>
        </w:rPr>
        <w:t>Under this ASU, a practical expedient is provided that assumes that current conditions as of the balance sheet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do not change for the remaining life of the asset for current accounts receivable and current contract assets. This standard is effective for annual reporting periods beginning after December 15, 2025, and for interim periods within those fiscal years. The Company is currently evaluating the impact of this standard on its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line="30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Under this ASU, all references to prescriptive and sequential software development stages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eliminated and capitalization of software costs is required to start when management has authorized and committed to funding the software project and it is probable that the project will be completed and the software will be used to perform the function intended. This standard is effective for annual reporting periods beginning after December 15, 2027 and for interim periods within those fiscal years. The Company is currently evaluating the impact of this standard on its consolidated financial statements and related disclosures.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accounting policies and practices used in the preparation of the accompanying consolidated financial statements are as follows:</w:t>
      </w:r>
    </w:p>
    <w:p>
      <w:pPr>
        <w:spacing w:after="0" w:line="22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includes cash on hand and short term marketable securities with original maturities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or less.</w:t>
      </w:r>
    </w:p>
    <w:p>
      <w:pPr>
        <w:spacing w:after="0" w:line="158"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Spare Parts, Fuel and Operating Supplies: </w:t>
      </w:r>
      <w:r>
        <w:rPr>
          <w:rFonts w:ascii="Times New Roman" w:cs="Times New Roman" w:eastAsia="Times New Roman" w:hAnsi="Times New Roman"/>
          <w:sz w:val="18"/>
          <w:szCs w:val="18"/>
          <w:color w:val="auto"/>
        </w:rPr>
        <w:t>Spare parts, fuel and operating supplies on hand are carried at average cost and are included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assets on the accompanying consolidated balance sheets.</w:t>
      </w:r>
    </w:p>
    <w:p>
      <w:pPr>
        <w:spacing w:after="0" w:line="1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are carried at cost less accumulated depreciation. Replacements and improvements that extend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useful life of an asset are capitalized, while repairs and maintenance that do not improve or extend the lives of the respective assets are charged to expense as incurred. The Company evaluates long-lived assets for impairment whenever events or changes in circumstances indicate the carrying value of assets may not be recoverable.</w:t>
      </w:r>
    </w:p>
    <w:p>
      <w:pPr>
        <w:spacing w:after="0" w:line="1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except for tractors (included in revenue equipment) for which the declining-balance method is used. The following service lives are used to compute depreciation:</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94"/>
        </w:trPr>
        <w:tc>
          <w:tcPr>
            <w:tcW w:w="6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6"/>
        </w:trPr>
        <w:tc>
          <w:tcPr>
            <w:tcW w:w="60" w:type="dxa"/>
            <w:vAlign w:val="bottom"/>
          </w:tcPr>
          <w:p>
            <w:pPr>
              <w:spacing w:after="0"/>
              <w:rPr>
                <w:sz w:val="18"/>
                <w:szCs w:val="18"/>
                <w:color w:val="auto"/>
              </w:rPr>
            </w:pPr>
          </w:p>
        </w:tc>
        <w:tc>
          <w:tcPr>
            <w:tcW w:w="64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Structures</w:t>
            </w:r>
          </w:p>
        </w:tc>
        <w:tc>
          <w:tcPr>
            <w:tcW w:w="380" w:type="dxa"/>
            <w:vAlign w:val="bottom"/>
            <w:shd w:val="clear" w:color="auto" w:fill="CFF0FF"/>
          </w:tcPr>
          <w:p>
            <w:pPr>
              <w:spacing w:after="0"/>
              <w:rPr>
                <w:sz w:val="18"/>
                <w:szCs w:val="18"/>
                <w:color w:val="auto"/>
              </w:rPr>
            </w:pPr>
          </w:p>
        </w:tc>
        <w:tc>
          <w:tcPr>
            <w:tcW w:w="1260" w:type="dxa"/>
            <w:vAlign w:val="bottom"/>
            <w:shd w:val="clear" w:color="auto" w:fill="CFF0FF"/>
          </w:tcPr>
          <w:p>
            <w:pPr>
              <w:spacing w:after="0"/>
              <w:rPr>
                <w:sz w:val="18"/>
                <w:szCs w:val="18"/>
                <w:color w:val="auto"/>
              </w:rPr>
            </w:pPr>
          </w:p>
        </w:tc>
        <w:tc>
          <w:tcPr>
            <w:tcW w:w="260" w:type="dxa"/>
            <w:vAlign w:val="bottom"/>
            <w:shd w:val="clear" w:color="auto" w:fill="CFF0FF"/>
          </w:tcPr>
          <w:p>
            <w:pPr>
              <w:spacing w:after="0"/>
              <w:rPr>
                <w:sz w:val="18"/>
                <w:szCs w:val="18"/>
                <w:color w:val="auto"/>
              </w:rPr>
            </w:pPr>
          </w:p>
        </w:tc>
        <w:tc>
          <w:tcPr>
            <w:tcW w:w="500" w:type="dxa"/>
            <w:vAlign w:val="bottom"/>
            <w:shd w:val="clear" w:color="auto" w:fill="CFF0FF"/>
          </w:tcPr>
          <w:p>
            <w:pPr>
              <w:spacing w:after="0"/>
              <w:rPr>
                <w:sz w:val="18"/>
                <w:szCs w:val="18"/>
                <w:color w:val="auto"/>
              </w:rPr>
            </w:pPr>
          </w:p>
        </w:tc>
        <w:tc>
          <w:tcPr>
            <w:tcW w:w="1240" w:type="dxa"/>
            <w:vAlign w:val="bottom"/>
            <w:gridSpan w:val="2"/>
            <w:shd w:val="clear" w:color="auto" w:fill="CFF0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15 to 25</w:t>
            </w:r>
          </w:p>
        </w:tc>
      </w:tr>
      <w:tr>
        <w:trPr>
          <w:trHeight w:val="216"/>
        </w:trPr>
        <w:tc>
          <w:tcPr>
            <w:tcW w:w="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Revenue equipment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6 to 20</w:t>
            </w:r>
          </w:p>
        </w:tc>
      </w:tr>
      <w:tr>
        <w:trPr>
          <w:trHeight w:val="216"/>
        </w:trPr>
        <w:tc>
          <w:tcPr>
            <w:tcW w:w="60" w:type="dxa"/>
            <w:vAlign w:val="bottom"/>
          </w:tcPr>
          <w:p>
            <w:pPr>
              <w:spacing w:after="0"/>
              <w:rPr>
                <w:sz w:val="18"/>
                <w:szCs w:val="18"/>
                <w:color w:val="auto"/>
              </w:rPr>
            </w:pPr>
          </w:p>
        </w:tc>
        <w:tc>
          <w:tcPr>
            <w:tcW w:w="64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Technology equipment and software</w:t>
            </w:r>
          </w:p>
        </w:tc>
        <w:tc>
          <w:tcPr>
            <w:tcW w:w="380" w:type="dxa"/>
            <w:vAlign w:val="bottom"/>
            <w:shd w:val="clear" w:color="auto" w:fill="CFF0FF"/>
          </w:tcPr>
          <w:p>
            <w:pPr>
              <w:spacing w:after="0"/>
              <w:rPr>
                <w:sz w:val="18"/>
                <w:szCs w:val="18"/>
                <w:color w:val="auto"/>
              </w:rPr>
            </w:pPr>
          </w:p>
        </w:tc>
        <w:tc>
          <w:tcPr>
            <w:tcW w:w="1260" w:type="dxa"/>
            <w:vAlign w:val="bottom"/>
            <w:shd w:val="clear" w:color="auto" w:fill="CFF0FF"/>
          </w:tcPr>
          <w:p>
            <w:pPr>
              <w:spacing w:after="0"/>
              <w:rPr>
                <w:sz w:val="18"/>
                <w:szCs w:val="18"/>
                <w:color w:val="auto"/>
              </w:rPr>
            </w:pPr>
          </w:p>
        </w:tc>
        <w:tc>
          <w:tcPr>
            <w:tcW w:w="260" w:type="dxa"/>
            <w:vAlign w:val="bottom"/>
            <w:shd w:val="clear" w:color="auto" w:fill="CFF0FF"/>
          </w:tcPr>
          <w:p>
            <w:pPr>
              <w:spacing w:after="0"/>
              <w:rPr>
                <w:sz w:val="18"/>
                <w:szCs w:val="18"/>
                <w:color w:val="auto"/>
              </w:rPr>
            </w:pPr>
          </w:p>
        </w:tc>
        <w:tc>
          <w:tcPr>
            <w:tcW w:w="500" w:type="dxa"/>
            <w:vAlign w:val="bottom"/>
            <w:shd w:val="clear" w:color="auto" w:fill="CFF0FF"/>
          </w:tcPr>
          <w:p>
            <w:pPr>
              <w:spacing w:after="0"/>
              <w:rPr>
                <w:sz w:val="18"/>
                <w:szCs w:val="18"/>
                <w:color w:val="auto"/>
              </w:rPr>
            </w:pPr>
          </w:p>
        </w:tc>
        <w:tc>
          <w:tcPr>
            <w:tcW w:w="1240" w:type="dxa"/>
            <w:vAlign w:val="bottom"/>
            <w:gridSpan w:val="2"/>
            <w:shd w:val="clear" w:color="auto" w:fill="CFF0FF"/>
          </w:tcPr>
          <w:p>
            <w:pPr>
              <w:jc w:val="center"/>
              <w:ind w:right="20"/>
              <w:spacing w:after="0"/>
              <w:rPr>
                <w:sz w:val="20"/>
                <w:szCs w:val="20"/>
                <w:color w:val="auto"/>
              </w:rPr>
            </w:pPr>
            <w:r>
              <w:rPr>
                <w:rFonts w:ascii="Times New Roman" w:cs="Times New Roman" w:eastAsia="Times New Roman" w:hAnsi="Times New Roman"/>
                <w:sz w:val="18"/>
                <w:szCs w:val="18"/>
                <w:color w:val="auto"/>
              </w:rPr>
              <w:t>3 to 5</w:t>
            </w:r>
          </w:p>
        </w:tc>
      </w:tr>
      <w:tr>
        <w:trPr>
          <w:trHeight w:val="234"/>
        </w:trPr>
        <w:tc>
          <w:tcPr>
            <w:tcW w:w="6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3 to 10</w:t>
            </w:r>
          </w:p>
        </w:tc>
      </w:tr>
      <w:tr>
        <w:trPr>
          <w:trHeight w:val="41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property and equipment consisted of the following (in thousands):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64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shd w:val="clear" w:color="auto" w:fill="CFF0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360,369</w:t>
            </w:r>
          </w:p>
        </w:tc>
        <w:tc>
          <w:tcPr>
            <w:tcW w:w="760" w:type="dxa"/>
            <w:vAlign w:val="bottom"/>
            <w:gridSpan w:val="2"/>
            <w:shd w:val="clear" w:color="auto" w:fill="CFF0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350,593</w:t>
            </w:r>
          </w:p>
        </w:tc>
        <w:tc>
          <w:tcPr>
            <w:tcW w:w="100" w:type="dxa"/>
            <w:vAlign w:val="bottom"/>
            <w:shd w:val="clear" w:color="auto" w:fill="CFF0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Structures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1,399,227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1,238,969</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4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Revenue equipment</w:t>
            </w:r>
          </w:p>
        </w:tc>
        <w:tc>
          <w:tcPr>
            <w:tcW w:w="380" w:type="dxa"/>
            <w:vAlign w:val="bottom"/>
            <w:shd w:val="clear" w:color="auto" w:fill="CFF0FF"/>
          </w:tcPr>
          <w:p>
            <w:pPr>
              <w:spacing w:after="0"/>
              <w:rPr>
                <w:sz w:val="18"/>
                <w:szCs w:val="18"/>
                <w:color w:val="auto"/>
              </w:rPr>
            </w:pPr>
          </w:p>
        </w:tc>
        <w:tc>
          <w:tcPr>
            <w:tcW w:w="12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2,055,037</w:t>
            </w:r>
          </w:p>
        </w:tc>
        <w:tc>
          <w:tcPr>
            <w:tcW w:w="260" w:type="dxa"/>
            <w:vAlign w:val="bottom"/>
            <w:shd w:val="clear" w:color="auto" w:fill="CFF0FF"/>
          </w:tcPr>
          <w:p>
            <w:pPr>
              <w:spacing w:after="0"/>
              <w:rPr>
                <w:sz w:val="18"/>
                <w:szCs w:val="18"/>
                <w:color w:val="auto"/>
              </w:rPr>
            </w:pPr>
          </w:p>
        </w:tc>
        <w:tc>
          <w:tcPr>
            <w:tcW w:w="500" w:type="dxa"/>
            <w:vAlign w:val="bottom"/>
            <w:shd w:val="clear" w:color="auto" w:fill="CFF0FF"/>
          </w:tcPr>
          <w:p>
            <w:pPr>
              <w:spacing w:after="0"/>
              <w:rPr>
                <w:sz w:val="18"/>
                <w:szCs w:val="18"/>
                <w:color w:val="auto"/>
              </w:rPr>
            </w:pPr>
          </w:p>
        </w:tc>
        <w:tc>
          <w:tcPr>
            <w:tcW w:w="11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1,810,389</w:t>
            </w:r>
          </w:p>
        </w:tc>
        <w:tc>
          <w:tcPr>
            <w:tcW w:w="100" w:type="dxa"/>
            <w:vAlign w:val="bottom"/>
            <w:shd w:val="clear" w:color="auto" w:fill="CFF0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Technology equipment and software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253,997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225,504</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460" w:type="dxa"/>
            <w:vAlign w:val="bottom"/>
            <w:tcBorders>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FF0FF"/>
          </w:tcPr>
          <w:p>
            <w:pPr>
              <w:spacing w:after="0"/>
              <w:rPr>
                <w:sz w:val="18"/>
                <w:szCs w:val="18"/>
                <w:color w:val="auto"/>
              </w:rPr>
            </w:pPr>
          </w:p>
        </w:tc>
        <w:tc>
          <w:tcPr>
            <w:tcW w:w="126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190,808</w:t>
            </w:r>
          </w:p>
        </w:tc>
        <w:tc>
          <w:tcPr>
            <w:tcW w:w="260" w:type="dxa"/>
            <w:vAlign w:val="bottom"/>
            <w:tcBorders>
              <w:bottom w:val="single" w:sz="8" w:color="CFF0FF"/>
            </w:tcBorders>
            <w:shd w:val="clear" w:color="auto" w:fill="CFF0FF"/>
          </w:tcPr>
          <w:p>
            <w:pPr>
              <w:spacing w:after="0"/>
              <w:rPr>
                <w:sz w:val="18"/>
                <w:szCs w:val="18"/>
                <w:color w:val="auto"/>
              </w:rPr>
            </w:pPr>
          </w:p>
        </w:tc>
        <w:tc>
          <w:tcPr>
            <w:tcW w:w="500" w:type="dxa"/>
            <w:vAlign w:val="bottom"/>
            <w:tcBorders>
              <w:bottom w:val="single" w:sz="8" w:color="auto"/>
            </w:tcBorders>
            <w:shd w:val="clear" w:color="auto" w:fill="CFF0FF"/>
          </w:tcPr>
          <w:p>
            <w:pPr>
              <w:spacing w:after="0"/>
              <w:rPr>
                <w:sz w:val="18"/>
                <w:szCs w:val="18"/>
                <w:color w:val="auto"/>
              </w:rPr>
            </w:pPr>
          </w:p>
        </w:tc>
        <w:tc>
          <w:tcPr>
            <w:tcW w:w="11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164,614</w:t>
            </w:r>
          </w:p>
        </w:tc>
        <w:tc>
          <w:tcPr>
            <w:tcW w:w="100" w:type="dxa"/>
            <w:vAlign w:val="bottom"/>
            <w:tcBorders>
              <w:bottom w:val="single" w:sz="8" w:color="CFF0FF"/>
            </w:tcBorders>
            <w:shd w:val="clear" w:color="auto" w:fill="CFF0FF"/>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4,259,438</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3,790,069</w:t>
            </w:r>
          </w:p>
        </w:tc>
        <w:tc>
          <w:tcPr>
            <w:tcW w:w="10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-196215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-196215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investment in technology equipment and software consists primarily of systems to support customer service, maintenance and freight management. Depreciation and amortization expense (including amortization of assets under finance leases) was $247.7 million, $209.2 million and $177.9 million for the years ended December 31, 2025, 2024 and 2023, respectively.</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estimated useful lives of property and equipment considering its planned and actual usage, planned and actual maintenance and replacement, and other relevant physical and economic factors that may affect our use of the assets. During the second quarter of 2024, the Company determined that the estimated useful lives of certain of its trailers and dollies should be extended from 14 years to 20 years. This change was recognized prospectively. The changes in estimates resulted in an increase in income from continuing operations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$2.9 million and $7.7 million (a $2.2 million and $5.8 million increase in net income) for the years ended December 31, 2025 and 2024, respectively.</w:t>
      </w:r>
    </w:p>
    <w:p>
      <w:pPr>
        <w:spacing w:after="0" w:line="16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Claims and Insurance Accruals: </w:t>
      </w:r>
      <w:r>
        <w:rPr>
          <w:rFonts w:ascii="Times New Roman" w:cs="Times New Roman" w:eastAsia="Times New Roman" w:hAnsi="Times New Roman"/>
          <w:sz w:val="18"/>
          <w:szCs w:val="18"/>
          <w:color w:val="auto"/>
        </w:rPr>
        <w:t>The Company maintains a significant amount of insurance coverage with third-party insurance carriers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various levels of protection for covered risk exposure, including in the areas of workers’ compensation, bodily injury and property damage, casualty, cargo loss and damage and group health, with coverage limits and retention and deductible amounts that vary based on policy periods and claim type. Claims and insurance accruals related to workers’ compensation, bodily injury and property damage, casualty, cargo loss and damage and group health are established by management based on estimates of losses that the Company will ultimately incur on reported claims and on claims that have been incurred but not yet reported. Accruals are calculated on reported claims based on an evaluation of the nature and severity of the claim, historical loss experience and on legal, economic and other factors. Actuarial analysis is also used in calculating the accruals for workers’ compensation and bodily injury and property damage claims.</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enacted. As required by FASB Accounting Standards Codification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defines the threshold for recognizing the benefits of tax-filing positions in the financial statements as “more-likely-than-not” to be sustained by the tax authority.</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Company’s revenues are derived primarily from the transportation of freight as it satisfies performance obligations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 from contracts with its customers. The Company’s performance obligations arise when it receives a bill of lading (BOL) to transport a customer's commodities at negotiated prices contained in either a transportation services agreement or a publicly disclosed tariff rate. Once a BOL is received and accepted, a legally-enforceable contract is formed whereby the parties are committed to perform and the rights of the parties, shipping terms and conditions, and payment terms have been identified. Each shipment represents a distinct service that is a separately identified performance obligation.</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typical transit time to complete a shipment is from one to five days. Billing for transportation services normally occurs after completion of the service and payment is generally due within 30 days after the invoice date. The Company recognizes revenue related to the Company’s LTL, brokered truckload and expedited transportation services over the transit time of the shipment as it moves from origin to destination based on the transit status at the end of each reporting period.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estimates included in the recognition and measurement of revenue and related accounts receivable are as follows:</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associated with shipments in transit is recognized ratably over transit time;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revenue for billing adjustments and collectability.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portion of the gross invoice related to interline transportation services that involve the services of another party, such as another LTL service provider, is not recorded in the Company’s revenues. Revenue from logistics services is recognized as the services are provided.</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The Company routinely grants credit to its customers. The risk of significant loss in trade receivables is substantially mitigated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credit evaluation process, short collection terms, low revenue per transaction and services performed for a large number of customers, with no single customer representing more than 5 percent of accounts receivable at year-end. Allowances for potential credit losses are based on historical loss experience, current economic environment, expected trends and customer specific factors.</w:t>
      </w:r>
    </w:p>
    <w:p>
      <w:pPr>
        <w:spacing w:after="0" w:line="18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The Company has various stock-based compensation plans for its employees and non-employee directors.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stock-based compensation includes awards of stock options, restricted stock awards, and stock-based performance unit awards, all of which are accounted for under FASB ASC Topic 718,</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Stock options granted to employees are valued using a Black-Scholes-Merton model with the expense amortized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three-year vesting period. Restricted stock is valued based on the fair market value of the Company's common stock at the date of grant and the expense is amortized over the three to five year vesting period. Stock-based performance unit awards are valued using a Monte Carlo model and the expense is amortized over the three-year performance period.</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The Company tests goodwill for impairment annually and whenever events or changes in circumstance indicate that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occurred. The Company first performs a qualitative assessment to determine whether it is necessary to perform a quantitative assessment. The Company is not required to estimate the fair value of a reporting unit unless the Company determines, based on qualitative assessment, that it is more likely than not that its fair value is less than its carrying amount. Purchased intangible assets subject to amortization are reviewed for impairment whenever events or changes in circumstances indicate that the carrying amount of an asset may not be recoverable.</w:t>
      </w:r>
    </w:p>
    <w:p>
      <w:pPr>
        <w:spacing w:after="0" w:line="18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Other current liabilities are mainly comprised of other accrued taxes. Other accrued taxes were $26.0 million and $31.7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years ended December 31, 2025 and 2024, respectively.</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The costs of advertising are expensed as incurred. Advertising costs charged to expense were $2.7 million, $5.0 million, and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years ended December 31, 2025, 2024 and 2023, respectively.</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The carrying amounts of financial instruments including cash and cash equivalents, accounts receivable and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approximated fair value as of December 31, 2025 and 2024, because of the relatively short maturity of these instruments. See Note 2 for fair value disclosures related to debt.</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Saia is comprised of a single reportable segment organized around its transportation services. The segment provides core LTL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wide range of other value-add transportation services to its customers based on negotiated prices contained in either a transportation services agreement or a publicly disclosed tariff rate. Saia derives revenue primarily in the United States and manages its business activities on a consolidated basis using an integrated transportation network.</w:t>
      </w:r>
    </w:p>
    <w:p>
      <w:pPr>
        <w:spacing w:after="0" w:line="1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who regularly reviews the operating results of the Company's single operating segment at the consolidated company level. The accounting policies of the segment are the same as those described in the summary of significant accounting policies. The CODM assesses performance for the segment and determines how to allocate resources based on Saia's consolidated net income.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(return on assets) in deciding whether to reinvest profits into the Company or for other purposes, such as for acquisitions, to repay borrowings or to pay dividends. The CODM also uses net income to monitor budget versus actual results, and in competitive analysis by benchmarking to the Company’s competitors. The competitive analysis along with the monitoring of budgeted versus actual results are used in assessing performance of the Company and in establishing management’s compensation.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reportable segment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5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3,234,286</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3,209,074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2,881,433</w:t>
            </w:r>
          </w:p>
        </w:tc>
        <w:tc>
          <w:tcPr>
            <w:tcW w:w="100" w:type="dxa"/>
            <w:vAlign w:val="bottom"/>
          </w:tcPr>
          <w:p>
            <w:pPr>
              <w:spacing w:after="0"/>
              <w:rPr>
                <w:sz w:val="18"/>
                <w:szCs w:val="18"/>
                <w:color w:val="auto"/>
              </w:rPr>
            </w:pPr>
          </w:p>
        </w:tc>
      </w:tr>
      <w:tr>
        <w:trPr>
          <w:trHeight w:val="209"/>
        </w:trPr>
        <w:tc>
          <w:tcPr>
            <w:tcW w:w="54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FF0FF"/>
          </w:tcPr>
          <w:p>
            <w:pPr>
              <w:spacing w:after="0"/>
              <w:rPr>
                <w:sz w:val="18"/>
                <w:szCs w:val="18"/>
                <w:color w:val="auto"/>
              </w:rPr>
            </w:pPr>
          </w:p>
        </w:tc>
        <w:tc>
          <w:tcPr>
            <w:tcW w:w="1060" w:type="dxa"/>
            <w:vAlign w:val="bottom"/>
            <w:shd w:val="clear" w:color="auto" w:fill="CFF0FF"/>
          </w:tcPr>
          <w:p>
            <w:pPr>
              <w:spacing w:after="0"/>
              <w:rPr>
                <w:sz w:val="18"/>
                <w:szCs w:val="18"/>
                <w:color w:val="auto"/>
              </w:rPr>
            </w:pPr>
          </w:p>
        </w:tc>
        <w:tc>
          <w:tcPr>
            <w:tcW w:w="24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04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380" w:type="dxa"/>
            <w:vAlign w:val="bottom"/>
            <w:shd w:val="clear" w:color="auto" w:fill="CFF0FF"/>
          </w:tcPr>
          <w:p>
            <w:pPr>
              <w:spacing w:after="0"/>
              <w:rPr>
                <w:sz w:val="18"/>
                <w:szCs w:val="18"/>
                <w:color w:val="auto"/>
              </w:rPr>
            </w:pPr>
          </w:p>
        </w:tc>
        <w:tc>
          <w:tcPr>
            <w:tcW w:w="10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Wages (a)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927,064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767,282</w:t>
            </w:r>
          </w:p>
        </w:tc>
        <w:tc>
          <w:tcPr>
            <w:tcW w:w="100" w:type="dxa"/>
            <w:vAlign w:val="bottom"/>
          </w:tcPr>
          <w:p>
            <w:pPr>
              <w:spacing w:after="0"/>
              <w:rPr>
                <w:sz w:val="18"/>
                <w:szCs w:val="18"/>
                <w:color w:val="auto"/>
              </w:rPr>
            </w:pPr>
          </w:p>
        </w:tc>
      </w:tr>
      <w:tr>
        <w:trPr>
          <w:trHeight w:val="216"/>
        </w:trPr>
        <w:tc>
          <w:tcPr>
            <w:tcW w:w="54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Salaries (a)</w:t>
            </w:r>
          </w:p>
        </w:tc>
        <w:tc>
          <w:tcPr>
            <w:tcW w:w="320" w:type="dxa"/>
            <w:vAlign w:val="bottom"/>
            <w:shd w:val="clear" w:color="auto" w:fill="CFF0FF"/>
          </w:tcPr>
          <w:p>
            <w:pPr>
              <w:spacing w:after="0"/>
              <w:rPr>
                <w:sz w:val="18"/>
                <w:szCs w:val="18"/>
                <w:color w:val="auto"/>
              </w:rPr>
            </w:pPr>
          </w:p>
        </w:tc>
        <w:tc>
          <w:tcPr>
            <w:tcW w:w="10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204,276</w:t>
            </w:r>
          </w:p>
        </w:tc>
        <w:tc>
          <w:tcPr>
            <w:tcW w:w="24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0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190,393</w:t>
            </w:r>
          </w:p>
        </w:tc>
        <w:tc>
          <w:tcPr>
            <w:tcW w:w="12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380" w:type="dxa"/>
            <w:vAlign w:val="bottom"/>
            <w:shd w:val="clear" w:color="auto" w:fill="CFF0FF"/>
          </w:tcPr>
          <w:p>
            <w:pPr>
              <w:spacing w:after="0"/>
              <w:rPr>
                <w:sz w:val="18"/>
                <w:szCs w:val="18"/>
                <w:color w:val="auto"/>
              </w:rPr>
            </w:pP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168,794</w:t>
            </w:r>
          </w:p>
        </w:tc>
        <w:tc>
          <w:tcPr>
            <w:tcW w:w="100" w:type="dxa"/>
            <w:vAlign w:val="bottom"/>
            <w:shd w:val="clear" w:color="auto" w:fill="CFF0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Purchased Transportation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238,688</w:t>
            </w:r>
          </w:p>
        </w:tc>
        <w:tc>
          <w:tcPr>
            <w:tcW w:w="100" w:type="dxa"/>
            <w:vAlign w:val="bottom"/>
          </w:tcPr>
          <w:p>
            <w:pPr>
              <w:spacing w:after="0"/>
              <w:rPr>
                <w:sz w:val="18"/>
                <w:szCs w:val="18"/>
                <w:color w:val="auto"/>
              </w:rPr>
            </w:pPr>
          </w:p>
        </w:tc>
      </w:tr>
      <w:tr>
        <w:trPr>
          <w:trHeight w:val="216"/>
        </w:trPr>
        <w:tc>
          <w:tcPr>
            <w:tcW w:w="54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Other Segment items (b)</w:t>
            </w:r>
          </w:p>
        </w:tc>
        <w:tc>
          <w:tcPr>
            <w:tcW w:w="320" w:type="dxa"/>
            <w:vAlign w:val="bottom"/>
            <w:shd w:val="clear" w:color="auto" w:fill="CFF0FF"/>
          </w:tcPr>
          <w:p>
            <w:pPr>
              <w:spacing w:after="0"/>
              <w:rPr>
                <w:sz w:val="18"/>
                <w:szCs w:val="18"/>
                <w:color w:val="auto"/>
              </w:rPr>
            </w:pPr>
          </w:p>
        </w:tc>
        <w:tc>
          <w:tcPr>
            <w:tcW w:w="10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1,266,096</w:t>
            </w:r>
          </w:p>
        </w:tc>
        <w:tc>
          <w:tcPr>
            <w:tcW w:w="24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0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1,179,631</w:t>
            </w:r>
          </w:p>
        </w:tc>
        <w:tc>
          <w:tcPr>
            <w:tcW w:w="12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380" w:type="dxa"/>
            <w:vAlign w:val="bottom"/>
            <w:shd w:val="clear" w:color="auto" w:fill="CFF0FF"/>
          </w:tcPr>
          <w:p>
            <w:pPr>
              <w:spacing w:after="0"/>
              <w:rPr>
                <w:sz w:val="18"/>
                <w:szCs w:val="18"/>
                <w:color w:val="auto"/>
              </w:rPr>
            </w:pP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1,065,270</w:t>
            </w:r>
          </w:p>
        </w:tc>
        <w:tc>
          <w:tcPr>
            <w:tcW w:w="100" w:type="dxa"/>
            <w:vAlign w:val="bottom"/>
            <w:shd w:val="clear" w:color="auto" w:fill="CFF0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178,845</w:t>
            </w:r>
          </w:p>
        </w:tc>
        <w:tc>
          <w:tcPr>
            <w:tcW w:w="100" w:type="dxa"/>
            <w:vAlign w:val="bottom"/>
          </w:tcPr>
          <w:p>
            <w:pPr>
              <w:spacing w:after="0"/>
              <w:rPr>
                <w:sz w:val="18"/>
                <w:szCs w:val="18"/>
                <w:color w:val="auto"/>
              </w:rPr>
            </w:pPr>
          </w:p>
        </w:tc>
      </w:tr>
      <w:tr>
        <w:trPr>
          <w:trHeight w:val="216"/>
        </w:trPr>
        <w:tc>
          <w:tcPr>
            <w:tcW w:w="54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F"/>
          </w:tcPr>
          <w:p>
            <w:pPr>
              <w:spacing w:after="0"/>
              <w:rPr>
                <w:sz w:val="18"/>
                <w:szCs w:val="18"/>
                <w:color w:val="auto"/>
              </w:rPr>
            </w:pPr>
          </w:p>
        </w:tc>
        <w:tc>
          <w:tcPr>
            <w:tcW w:w="10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24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0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2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380" w:type="dxa"/>
            <w:vAlign w:val="bottom"/>
            <w:shd w:val="clear" w:color="auto" w:fill="CFF0FF"/>
          </w:tcPr>
          <w:p>
            <w:pPr>
              <w:spacing w:after="0"/>
              <w:rPr>
                <w:sz w:val="18"/>
                <w:szCs w:val="18"/>
                <w:color w:val="auto"/>
              </w:rPr>
            </w:pPr>
          </w:p>
        </w:tc>
        <w:tc>
          <w:tcPr>
            <w:tcW w:w="10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FF0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(6,208)</w:t>
            </w:r>
          </w:p>
        </w:tc>
      </w:tr>
      <w:tr>
        <w:trPr>
          <w:trHeight w:val="216"/>
        </w:trPr>
        <w:tc>
          <w:tcPr>
            <w:tcW w:w="5480" w:type="dxa"/>
            <w:vAlign w:val="bottom"/>
            <w:tcBorders>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FF0FF"/>
          </w:tcPr>
          <w:p>
            <w:pPr>
              <w:spacing w:after="0"/>
              <w:rPr>
                <w:sz w:val="18"/>
                <w:szCs w:val="18"/>
                <w:color w:val="auto"/>
              </w:rPr>
            </w:pPr>
          </w:p>
        </w:tc>
        <w:tc>
          <w:tcPr>
            <w:tcW w:w="106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82,353</w:t>
            </w:r>
          </w:p>
        </w:tc>
        <w:tc>
          <w:tcPr>
            <w:tcW w:w="240" w:type="dxa"/>
            <w:vAlign w:val="bottom"/>
            <w:tcBorders>
              <w:bottom w:val="single" w:sz="8" w:color="CFF0FF"/>
            </w:tcBorders>
            <w:shd w:val="clear" w:color="auto" w:fill="CFF0FF"/>
          </w:tcPr>
          <w:p>
            <w:pPr>
              <w:spacing w:after="0"/>
              <w:rPr>
                <w:sz w:val="18"/>
                <w:szCs w:val="18"/>
                <w:color w:val="auto"/>
              </w:rPr>
            </w:pPr>
          </w:p>
        </w:tc>
        <w:tc>
          <w:tcPr>
            <w:tcW w:w="300" w:type="dxa"/>
            <w:vAlign w:val="bottom"/>
            <w:tcBorders>
              <w:bottom w:val="single" w:sz="8" w:color="auto"/>
            </w:tcBorders>
            <w:shd w:val="clear" w:color="auto" w:fill="CFF0FF"/>
          </w:tcPr>
          <w:p>
            <w:pPr>
              <w:spacing w:after="0"/>
              <w:rPr>
                <w:sz w:val="18"/>
                <w:szCs w:val="18"/>
                <w:color w:val="auto"/>
              </w:rPr>
            </w:pPr>
          </w:p>
        </w:tc>
        <w:tc>
          <w:tcPr>
            <w:tcW w:w="10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113,943</w:t>
            </w:r>
          </w:p>
        </w:tc>
        <w:tc>
          <w:tcPr>
            <w:tcW w:w="120" w:type="dxa"/>
            <w:vAlign w:val="bottom"/>
            <w:tcBorders>
              <w:bottom w:val="single" w:sz="8" w:color="CFF0FF"/>
            </w:tcBorders>
            <w:shd w:val="clear" w:color="auto" w:fill="CFF0FF"/>
          </w:tcPr>
          <w:p>
            <w:pPr>
              <w:spacing w:after="0"/>
              <w:rPr>
                <w:sz w:val="18"/>
                <w:szCs w:val="18"/>
                <w:color w:val="auto"/>
              </w:rPr>
            </w:pPr>
          </w:p>
        </w:tc>
        <w:tc>
          <w:tcPr>
            <w:tcW w:w="60" w:type="dxa"/>
            <w:vAlign w:val="bottom"/>
            <w:tcBorders>
              <w:bottom w:val="single" w:sz="8" w:color="CFF0FF"/>
            </w:tcBorders>
            <w:shd w:val="clear" w:color="auto" w:fill="CFF0FF"/>
          </w:tcPr>
          <w:p>
            <w:pPr>
              <w:spacing w:after="0"/>
              <w:rPr>
                <w:sz w:val="18"/>
                <w:szCs w:val="18"/>
                <w:color w:val="auto"/>
              </w:rPr>
            </w:pPr>
          </w:p>
        </w:tc>
        <w:tc>
          <w:tcPr>
            <w:tcW w:w="380" w:type="dxa"/>
            <w:vAlign w:val="bottom"/>
            <w:tcBorders>
              <w:bottom w:val="single" w:sz="8" w:color="auto"/>
            </w:tcBorders>
            <w:shd w:val="clear" w:color="auto" w:fill="CFF0FF"/>
          </w:tcPr>
          <w:p>
            <w:pPr>
              <w:spacing w:after="0"/>
              <w:rPr>
                <w:sz w:val="18"/>
                <w:szCs w:val="18"/>
                <w:color w:val="auto"/>
              </w:rPr>
            </w:pPr>
          </w:p>
        </w:tc>
        <w:tc>
          <w:tcPr>
            <w:tcW w:w="100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111,370</w:t>
            </w:r>
          </w:p>
        </w:tc>
        <w:tc>
          <w:tcPr>
            <w:tcW w:w="100" w:type="dxa"/>
            <w:vAlign w:val="bottom"/>
            <w:tcBorders>
              <w:bottom w:val="single" w:sz="8" w:color="CFF0FF"/>
            </w:tcBorders>
            <w:shd w:val="clear" w:color="auto" w:fill="CFF0FF"/>
          </w:tcPr>
          <w:p>
            <w:pPr>
              <w:spacing w:after="0"/>
              <w:rPr>
                <w:sz w:val="18"/>
                <w:szCs w:val="18"/>
                <w:color w:val="auto"/>
              </w:rPr>
            </w:pPr>
          </w:p>
        </w:tc>
      </w:tr>
      <w:tr>
        <w:trPr>
          <w:trHeight w:val="290"/>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Segment and Consolidated Net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255,036</w:t>
            </w:r>
          </w:p>
        </w:tc>
        <w:tc>
          <w:tcPr>
            <w:tcW w:w="240" w:type="dxa"/>
            <w:vAlign w:val="bottom"/>
          </w:tcPr>
          <w:p>
            <w:pPr>
              <w:spacing w:after="0"/>
              <w:rPr>
                <w:sz w:val="24"/>
                <w:szCs w:val="24"/>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362,065</w:t>
            </w:r>
          </w:p>
        </w:tc>
        <w:tc>
          <w:tcPr>
            <w:tcW w:w="120" w:type="dxa"/>
            <w:vAlign w:val="bottom"/>
          </w:tcPr>
          <w:p>
            <w:pPr>
              <w:spacing w:after="0"/>
              <w:rPr>
                <w:sz w:val="24"/>
                <w:szCs w:val="24"/>
                <w:color w:val="auto"/>
              </w:rPr>
            </w:pP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354,857</w:t>
            </w:r>
          </w:p>
        </w:tc>
        <w:tc>
          <w:tcPr>
            <w:tcW w:w="100" w:type="dxa"/>
            <w:vAlign w:val="bottom"/>
          </w:tcPr>
          <w:p>
            <w:pPr>
              <w:spacing w:after="0"/>
              <w:rPr>
                <w:sz w:val="24"/>
                <w:szCs w:val="24"/>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-222250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-222250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-222250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460" w:right="460" w:hanging="3"/>
        <w:spacing w:after="0" w:line="282" w:lineRule="auto"/>
        <w:tabs>
          <w:tab w:leader="none" w:pos="7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includes payroll costs for non-management employees generally paid on an hourly or per-mile basis. Salaries includes payroll costs for exempt employees.</w:t>
      </w:r>
    </w:p>
    <w:p>
      <w:pPr>
        <w:spacing w:after="0" w:line="53" w:lineRule="exact"/>
        <w:rPr>
          <w:rFonts w:ascii="Times New Roman" w:cs="Times New Roman" w:eastAsia="Times New Roman" w:hAnsi="Times New Roman"/>
          <w:sz w:val="18"/>
          <w:szCs w:val="18"/>
          <w:color w:val="auto"/>
        </w:rPr>
      </w:pPr>
    </w:p>
    <w:p>
      <w:pPr>
        <w:ind w:left="460" w:right="440" w:hanging="3"/>
        <w:spacing w:after="0" w:line="282" w:lineRule="auto"/>
        <w:tabs>
          <w:tab w:leader="none" w:pos="7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employees' benefits, fuel, operating expenses and supplies, operating taxes and licenses and claims and insurance.</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Financing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debt consisted of the following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5"/>
                <w:szCs w:val="15"/>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Arrangements, described below</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163,000</w:t>
            </w: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194,000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 described below</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6,294</w:t>
            </w:r>
          </w:p>
        </w:tc>
      </w:tr>
      <w:tr>
        <w:trPr>
          <w:trHeight w:val="20"/>
        </w:trPr>
        <w:tc>
          <w:tcPr>
            <w:tcW w:w="7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163,980</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200,294</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5,313</w:t>
            </w:r>
          </w:p>
        </w:tc>
      </w:tr>
      <w:tr>
        <w:trPr>
          <w:trHeight w:val="20"/>
        </w:trPr>
        <w:tc>
          <w:tcPr>
            <w:tcW w:w="7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194,981</w:t>
            </w: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liquidity needs arise primarily from capital investment in new equipment, land and structures, information technology and letters of credit and surety bonds required under insurance programs, as well as funding working capital requirements.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party to a credit agreement with a group of banks as well as a private shelf debt agreement to fund capital investments, letters of credit and working capital needs. The payment of dividends is restricted under the Company's credit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Arrangements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 party to an unsecured credit agreement with its banking group (the Revolving Credit Facility) that was amended in December, 2024. The amendment increased commitments under the Revolving Credit Facility by $300 million to an aggregate commitment of $600 million and expanded the accordion feature, subject to certain conditions and availability of lender commitments, from $150 million to $300 million. This amendment also extended the maturity date of the Revolving Credit Facility from February 3, 2028, to December 9, 2029. Borrowings under the Revolving Credit Facility bear interest at the Company’s election at a variable rate equal to (a) one, three or six month term SOFR (the forward-looking secured overnight financing rate) plus 0.10%, or (b) an alternate base rate, in each case plus an applicable margin. Additionally, the amendment adjusted the applicable margin such that it is now between 1.25% and 2.00% per annum for term SOFR loans and between 0.25% and 1.00% per annum for alternate base rate loans, in each case based on the Company’s consolidated net lease adjusted leverage ratio. The amendment also modified the fees that the Company accrues based on the daily unused portion of the credit facility, which will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now range between 0.175% and 0.30% based on the Company’s consolidated net lease adjusted leverage ratio. The Revolving Credit Facility contains certain customary representations and warranties, affirmative and negative covenants and provisions relating to events of default. Under the Revolving Credit Facility, if an event of default occurs, the banks will be entitled to take various actions, including the acceleration of amounts due. Under the Revolving Credit Facility, the Company is subject to a maximum consolidated net lease adjusted leverage ratio of less than 3.50 to 1.00 with the potential to be temporarily increased in the event the Company makes an acquisition that meets certain criteria. The Company was in compliance with its debt covenants under the Revolving Credit Facility at December 31, 2025</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outstanding borrowings of $63.0 million and outstanding letters of credit of $36.4 million under the Revolving Credit Facility. At December 31, 2024, the Company had $94.0 million of outstanding borrowings and outstanding letters of credit of $32.2 million under the Revolving Credit Facility.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variable rate debt approximates fair value as interest rates approximate the current rates available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Shelf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9, 2023, the Company entered into a $350 million uncommitted Private Shelf Agreement (the Shelf Agreement) with PGIM, Inc. (Prudential) and certain affiliates and managed accounts of Prudential (the Note Purchasers) which allows the Company, from time to time, to offer for sale to Prudential and its affiliates, in one or a series of transactions, senior notes of the Company, through November 9, 2026.</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Shelf Agreement, on May 1, 2024, the Company issued senior promissory notes (the Initial Notes) in an aggregate principal amount of $100 million to the Note Purchasers. The Initial Notes bear interest at 6.09% per annum and mature on May 1, 2029, unless repaid earlier by the Company. The Initial Notes are senior unsecured obligations and rank pari passu with borrowings under the Revolving Credit Facility or other senior promissory notes issued pursuant to the Shelf Agreement.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 notes issued under the Shelf Agreement, if any, would bear interest at a rate per annum, and would have such other terms, as would be set forth in a confirmation of acceptance executed by the parties prior to the closing of the applicable sale transaction.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Shelf Agreement requires that the Company maintain a consolidated net lease adjusted leverage ratio of less than 3.50 to 1.00, with limited exceptions. The Shelf Agreement also contains certain customary representations and warranties, affirmative and negative covenants and provisions related to events of default. Upon the occurrence and continuance of an event of default, the holders of notes issued under the Shelf Agreement may require immediate payment of all amounts owing under such notes. The Company was in compliance with its debt covenants under the Shelf Agreement at December 31, 2025.</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Company had outstanding notes under the Shelf Agreement of $100.0 million. The estimated fair value of these notes approximates book value for each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obligated under finance leases with seven-year terms which include obligations collateralized by revenue equipment totaling $1.0 million and $6.3 million as of December 31, 2025 and 2024, respectively. Amortization of assets held under the finance leases is included in depreciation and amortization expense.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finance leases at December 31, 2025 and 2024 is $1.0 million and $6.3 million, respectively, which is based on current market interest rates for similar types of financial instruments, reflective of Level 2 inputs.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paid cash for interest of $15.8 million, $7.7 million, and $1.6 million for the years ended December 31, 2025, 2024 and 2023, respectively.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Commitments, Contingencies and Uncertainties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contractual obligations and commitments in the form of finance leases, operating leases and purchase commitments.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December 31, 2025, the Company was committed under non-cancellable operating lease agreements requiring minimum annual rentals payable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38,005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34,821</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28,909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23,453</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13,980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100" w:type="dxa"/>
            <w:vAlign w:val="bottom"/>
          </w:tcPr>
          <w:p>
            <w:pPr>
              <w:spacing w:after="0"/>
              <w:rPr>
                <w:sz w:val="18"/>
                <w:szCs w:val="18"/>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168,161</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40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Rent expense was $43.4 million, $42.5 million, and $37.2 million for the years ended December 31, 2025, 2024 and 2023, respectively. Management expects that in the normal course of business, leases will be renewed or replaced as they expire. Finance and operating leases are discussed further in Note 4, "Leases."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Purchase commitments related to capital expenditures were $14.1 million at December 31, 2025. As of December 31, 2025 and 2024, the Company had $10.5 million and $24.4 million, respectively, of capital expenditures accrued for in accounts payable.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that arise in the ordinary course of its business. Management believes that adequate provisions for resolution of all contingencies, claims and pending litigation have been made for probable and estimable losses and that the ultimate outcome of these actions will not have a material adverse effect on its financial condition but could have a material adverse effect on its results of operations in a given quarter or annual period.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Leases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leases include, but are not limited to, real estate, including terminals and general office buildings, trailers, corporate fleet vehicles and other equipment. Leases with an initial term of 12 months or less are not recorded on the consolidated balance sheet; the Company recognizes lease expense for these leases on a straight-line basis over the lease term.</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approximately $5.3 million and $18.2 million, respectively, of finance leased assets, net of amortization, were included in property and equipment. Accumulated amortization for these assets totaled $0.9 million and $16.2 million as of the same periods ended.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lease costs for the years ended December 31, 2025 and 2024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tbl>
      <w:tblPr>
        <w:tblLayout w:type="fixed"/>
        <w:tblInd w:w="58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4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Operating lease cost </w:t>
            </w:r>
            <w:r>
              <w:rPr>
                <w:rFonts w:ascii="Times New Roman" w:cs="Times New Roman" w:eastAsia="Times New Roman" w:hAnsi="Times New Roman"/>
                <w:sz w:val="14"/>
                <w:szCs w:val="14"/>
                <w:color w:val="auto"/>
              </w:rPr>
              <w:t>(includes variable and sublease costs as they are immaterial)</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38,755</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lease cost</w:t>
            </w:r>
          </w:p>
        </w:tc>
        <w:tc>
          <w:tcPr>
            <w:tcW w:w="4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4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4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57,365</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58,287</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new operating lease liabilities</w:t>
            </w: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57,048</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-582295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discount rate used in the Company's calculation of its right-of-use assets and corresponding lease liabilities was determined based on the rate implicit in the lease if readily determinable, or its incremental borrowing rate, which approximates the rate at which the Company could borrow, on a collateralized basis, over the term of a lease. Supplemental cash flow and balance sheet information related to leases was as follows (in thousands, except where noted):</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10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1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8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 finance leases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 operating leases (years)</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 - finance leases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 - operating leases</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419"/>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maturities of lease liabilities were as follows (in thousands):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Pr>
          <w:p>
            <w:pPr>
              <w:spacing w:after="0"/>
              <w:rPr>
                <w:sz w:val="20"/>
                <w:szCs w:val="20"/>
                <w:color w:val="auto"/>
              </w:rPr>
            </w:pP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2026</w:t>
            </w:r>
          </w:p>
        </w:tc>
        <w:tc>
          <w:tcPr>
            <w:tcW w:w="16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38,005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34,821</w:t>
            </w:r>
          </w:p>
        </w:tc>
        <w:tc>
          <w:tcPr>
            <w:tcW w:w="2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28,909</w:t>
            </w:r>
          </w:p>
        </w:tc>
        <w:tc>
          <w:tcPr>
            <w:tcW w:w="28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23,453</w:t>
            </w:r>
          </w:p>
        </w:tc>
        <w:tc>
          <w:tcPr>
            <w:tcW w:w="2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13,980</w:t>
            </w:r>
          </w:p>
        </w:tc>
        <w:tc>
          <w:tcPr>
            <w:tcW w:w="28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28,993</w:t>
            </w:r>
          </w:p>
        </w:tc>
        <w:tc>
          <w:tcPr>
            <w:tcW w:w="2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168,161</w:t>
            </w:r>
          </w:p>
        </w:tc>
        <w:tc>
          <w:tcPr>
            <w:tcW w:w="28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27,147</w:t>
            </w:r>
          </w:p>
        </w:tc>
        <w:tc>
          <w:tcPr>
            <w:tcW w:w="2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360" w:type="dxa"/>
            <w:vAlign w:val="bottom"/>
          </w:tcPr>
          <w:p>
            <w:pPr>
              <w:spacing w:after="0"/>
              <w:rPr>
                <w:sz w:val="18"/>
                <w:szCs w:val="18"/>
                <w:color w:val="auto"/>
              </w:rPr>
            </w:pPr>
          </w:p>
        </w:tc>
        <w:tc>
          <w:tcPr>
            <w:tcW w:w="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141,014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6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62</w:t>
            </w: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-1499235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-1499235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-1216660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-1216660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change to the carrying amount of goodwill of $12.1 million for fiscal years ending December 31, 2025, 2024 and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gross amounts and accumulated amortization of identifiable intangible assets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628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2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64"/>
        </w:trPr>
        <w:tc>
          <w:tcPr>
            <w:tcW w:w="6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00" w:type="dxa"/>
            <w:vAlign w:val="bottom"/>
            <w:tcBorders>
              <w:top w:val="single" w:sz="8" w:color="auto"/>
            </w:tcBorders>
            <w:shd w:val="clear" w:color="auto" w:fill="CFF0FF"/>
          </w:tcPr>
          <w:p>
            <w:pPr>
              <w:spacing w:after="0"/>
              <w:rPr>
                <w:sz w:val="18"/>
                <w:szCs w:val="18"/>
                <w:color w:val="auto"/>
              </w:rPr>
            </w:pPr>
          </w:p>
        </w:tc>
        <w:tc>
          <w:tcPr>
            <w:tcW w:w="740" w:type="dxa"/>
            <w:vAlign w:val="bottom"/>
            <w:tcBorders>
              <w:top w:val="single" w:sz="8" w:color="auto"/>
            </w:tcBorders>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940" w:type="dxa"/>
            <w:vAlign w:val="bottom"/>
            <w:tcBorders>
              <w:top w:val="single" w:sz="8" w:color="auto"/>
            </w:tcBorders>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320" w:type="dxa"/>
            <w:vAlign w:val="bottom"/>
            <w:tcBorders>
              <w:top w:val="single" w:sz="8" w:color="auto"/>
            </w:tcBorders>
            <w:shd w:val="clear" w:color="auto" w:fill="CFF0FF"/>
          </w:tcPr>
          <w:p>
            <w:pPr>
              <w:spacing w:after="0"/>
              <w:rPr>
                <w:sz w:val="18"/>
                <w:szCs w:val="18"/>
                <w:color w:val="auto"/>
              </w:rPr>
            </w:pPr>
          </w:p>
        </w:tc>
        <w:tc>
          <w:tcPr>
            <w:tcW w:w="720" w:type="dxa"/>
            <w:vAlign w:val="bottom"/>
            <w:tcBorders>
              <w:top w:val="single" w:sz="8" w:color="auto"/>
            </w:tcBorders>
            <w:shd w:val="clear" w:color="auto" w:fill="CFF0FF"/>
          </w:tcPr>
          <w:p>
            <w:pPr>
              <w:spacing w:after="0"/>
              <w:rPr>
                <w:sz w:val="18"/>
                <w:szCs w:val="18"/>
                <w:color w:val="auto"/>
              </w:rPr>
            </w:pPr>
          </w:p>
        </w:tc>
        <w:tc>
          <w:tcPr>
            <w:tcW w:w="24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940" w:type="dxa"/>
            <w:vAlign w:val="bottom"/>
            <w:tcBorders>
              <w:top w:val="single" w:sz="8" w:color="auto"/>
            </w:tcBorders>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 (useful life of 6-15 years)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F"/>
            </w:tcBorders>
            <w:shd w:val="clear" w:color="auto" w:fill="CFF0FF"/>
          </w:tcPr>
          <w:p>
            <w:pPr>
              <w:ind w:left="60"/>
              <w:spacing w:after="0"/>
              <w:rPr>
                <w:sz w:val="20"/>
                <w:szCs w:val="20"/>
                <w:color w:val="auto"/>
              </w:rPr>
            </w:pPr>
            <w:r>
              <w:rPr>
                <w:rFonts w:ascii="Times New Roman" w:cs="Times New Roman" w:eastAsia="Times New Roman" w:hAnsi="Times New Roman"/>
                <w:sz w:val="18"/>
                <w:szCs w:val="18"/>
                <w:color w:val="auto"/>
              </w:rPr>
              <w:t>Trademarks (useful life of 15 years)</w:t>
            </w: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-196850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-196850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-196850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-196850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$0.9 million for 2025, 2024 and 2023. Estimated amortization expense for the next five years is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00" w:type="dxa"/>
            <w:vAlign w:val="bottom"/>
            <w:vMerge w:val="restart"/>
          </w:tcPr>
          <w:p>
            <w:pPr>
              <w:jc w:val="right"/>
              <w:ind w:right="4250"/>
              <w:spacing w:after="0"/>
              <w:rPr>
                <w:sz w:val="20"/>
                <w:szCs w:val="20"/>
                <w:color w:val="auto"/>
              </w:rPr>
            </w:pPr>
            <w:r>
              <w:rPr>
                <w:rFonts w:ascii="Times New Roman" w:cs="Times New Roman" w:eastAsia="Times New Roman" w:hAnsi="Times New Roman"/>
                <w:sz w:val="18"/>
                <w:szCs w:val="18"/>
                <w:color w:val="auto"/>
                <w:w w:val="94"/>
              </w:rPr>
              <w:t>2026</w:t>
            </w:r>
          </w:p>
        </w:tc>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jc w:val="right"/>
              <w:ind w:right="4250"/>
              <w:spacing w:after="0"/>
              <w:rPr>
                <w:sz w:val="20"/>
                <w:szCs w:val="20"/>
                <w:color w:val="auto"/>
              </w:rPr>
            </w:pPr>
            <w:r>
              <w:rPr>
                <w:rFonts w:ascii="Times New Roman" w:cs="Times New Roman" w:eastAsia="Times New Roman" w:hAnsi="Times New Roman"/>
                <w:sz w:val="18"/>
                <w:szCs w:val="18"/>
                <w:color w:val="auto"/>
                <w:w w:val="94"/>
              </w:rPr>
              <w:t>2027</w:t>
            </w:r>
          </w:p>
        </w:tc>
        <w:tc>
          <w:tcPr>
            <w:tcW w:w="4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470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w w:val="94"/>
              </w:rPr>
              <w:t>2028</w:t>
            </w: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jc w:val="right"/>
              <w:ind w:right="4250"/>
              <w:spacing w:after="0"/>
              <w:rPr>
                <w:sz w:val="20"/>
                <w:szCs w:val="20"/>
                <w:color w:val="auto"/>
              </w:rPr>
            </w:pPr>
            <w:r>
              <w:rPr>
                <w:rFonts w:ascii="Times New Roman" w:cs="Times New Roman" w:eastAsia="Times New Roman" w:hAnsi="Times New Roman"/>
                <w:sz w:val="18"/>
                <w:szCs w:val="18"/>
                <w:color w:val="auto"/>
                <w:w w:val="94"/>
              </w:rPr>
              <w:t>2029</w:t>
            </w:r>
          </w:p>
        </w:tc>
        <w:tc>
          <w:tcPr>
            <w:tcW w:w="4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4"/>
        </w:trPr>
        <w:tc>
          <w:tcPr>
            <w:tcW w:w="470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w w:val="94"/>
              </w:rPr>
              <w:t>2030</w:t>
            </w:r>
          </w:p>
        </w:tc>
        <w:tc>
          <w:tcPr>
            <w:tcW w:w="4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Computation of Earnings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calculation of basic earnings per common share and diluted earnings per common share is as follows (in thousands except per share amounts):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9" w:lineRule="exact"/>
        <w:rPr>
          <w:sz w:val="20"/>
          <w:szCs w:val="20"/>
          <w:color w:val="auto"/>
        </w:rPr>
      </w:pPr>
    </w:p>
    <w:p>
      <w:pPr>
        <w:ind w:left="240" w:right="2640" w:hanging="224"/>
        <w:spacing w:after="0" w:line="250" w:lineRule="auto"/>
        <w:rPr>
          <w:sz w:val="20"/>
          <w:szCs w:val="20"/>
          <w:color w:val="auto"/>
        </w:rPr>
      </w:pPr>
      <w:r>
        <w:rPr>
          <w:rFonts w:ascii="Times New Roman" w:cs="Times New Roman" w:eastAsia="Times New Roman" w:hAnsi="Times New Roman"/>
          <w:sz w:val="18"/>
          <w:szCs w:val="18"/>
          <w:color w:val="auto"/>
        </w:rPr>
        <w:t>Denominator for basic earnings per share–weighted average common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Dilutive effect of share-based awards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425"/>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362,065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354,857</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10"/>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26,689</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26,632</w:t>
            </w:r>
          </w:p>
        </w:tc>
      </w:tr>
      <w:tr>
        <w:trPr>
          <w:trHeight w:val="234"/>
        </w:trPr>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-410845</wp:posOffset>
            </wp:positionV>
            <wp:extent cx="7132320" cy="274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-710565</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80" w:space="720"/>
            <w:col w:w="41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71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share–adjusted</w:t>
            </w:r>
          </w:p>
        </w:tc>
        <w:tc>
          <w:tcPr>
            <w:tcW w:w="4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26,786</w:t>
            </w:r>
          </w:p>
        </w:tc>
        <w:tc>
          <w:tcPr>
            <w:tcW w:w="22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26,802</w:t>
            </w:r>
          </w:p>
        </w:tc>
        <w:tc>
          <w:tcPr>
            <w:tcW w:w="200" w:type="dxa"/>
            <w:vAlign w:val="bottom"/>
            <w:vMerge w:val="restart"/>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26,763</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FF0FC"/>
            </w:tcBorders>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4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13.57</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7100" w:type="dxa"/>
            <w:vAlign w:val="bottom"/>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-453390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-436245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-453390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-436245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2025, there were 11,818 anti-dilutive share-based awards. In 2024, there were 50 anti-dilutive share-based awards. In 2023, there were 5,790 anti-dilutive share-based awards.</w:t>
      </w:r>
    </w:p>
    <w:p>
      <w:pPr>
        <w:spacing w:after="0" w:line="3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Saia Executive Capital Accumulation Plan (Capital Accumulation Plan) is a nonqualified deferred compensation plan for Saia executives. The Capital Accumulation Plan allows for the plan participants to invest in the Company’s common stock. Elections to invest in the Company’s common stock are irrevocable, and upon distribution, the funds invested in the Company’s common stock are paid out in Company common stock rather than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3" w:name="page64"/>
    <w:bookmarkEnd w:id="63"/>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At December 31, 2025 and 2024, the Company’s rabbi trust, which holds the investments for the Capital Accumulation Plan, held 70,053 and 70,100 shares of the Company’s common stock, respectively, all of which were purchased on the open market.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the Company’s common stock that were purchased and sold by the Company’s rabbi trust (in thousands except share amounts):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4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Shares of common stock purchased</w:t>
            </w:r>
          </w:p>
        </w:tc>
        <w:tc>
          <w:tcPr>
            <w:tcW w:w="1160" w:type="dxa"/>
            <w:vAlign w:val="bottom"/>
            <w:shd w:val="clear" w:color="auto" w:fill="CFF0FF"/>
          </w:tcPr>
          <w:p>
            <w:pPr>
              <w:spacing w:after="0"/>
              <w:rPr>
                <w:sz w:val="18"/>
                <w:szCs w:val="18"/>
                <w:color w:val="auto"/>
              </w:rPr>
            </w:pPr>
          </w:p>
        </w:tc>
        <w:tc>
          <w:tcPr>
            <w:tcW w:w="840" w:type="dxa"/>
            <w:vAlign w:val="bottom"/>
            <w:shd w:val="clear" w:color="auto" w:fill="CFF0FF"/>
          </w:tcPr>
          <w:p>
            <w:pPr>
              <w:spacing w:after="0"/>
              <w:rPr>
                <w:sz w:val="18"/>
                <w:szCs w:val="18"/>
                <w:color w:val="auto"/>
              </w:rPr>
            </w:pPr>
          </w:p>
        </w:tc>
        <w:tc>
          <w:tcPr>
            <w:tcW w:w="68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5,500</w:t>
            </w:r>
          </w:p>
        </w:tc>
        <w:tc>
          <w:tcPr>
            <w:tcW w:w="320" w:type="dxa"/>
            <w:vAlign w:val="bottom"/>
            <w:shd w:val="clear" w:color="auto" w:fill="CFF0FF"/>
          </w:tcPr>
          <w:p>
            <w:pPr>
              <w:spacing w:after="0"/>
              <w:rPr>
                <w:sz w:val="18"/>
                <w:szCs w:val="18"/>
                <w:color w:val="auto"/>
              </w:rPr>
            </w:pPr>
          </w:p>
        </w:tc>
        <w:tc>
          <w:tcPr>
            <w:tcW w:w="1260" w:type="dxa"/>
            <w:vAlign w:val="bottom"/>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7,310</w:t>
            </w:r>
          </w:p>
        </w:tc>
        <w:tc>
          <w:tcPr>
            <w:tcW w:w="340" w:type="dxa"/>
            <w:vAlign w:val="bottom"/>
            <w:shd w:val="clear" w:color="auto" w:fill="CFF0FF"/>
          </w:tcPr>
          <w:p>
            <w:pPr>
              <w:spacing w:after="0"/>
              <w:rPr>
                <w:sz w:val="18"/>
                <w:szCs w:val="18"/>
                <w:color w:val="auto"/>
              </w:rPr>
            </w:pPr>
          </w:p>
        </w:tc>
        <w:tc>
          <w:tcPr>
            <w:tcW w:w="104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Aggregate purchase price of shares purchased</w:t>
            </w:r>
          </w:p>
        </w:tc>
        <w:tc>
          <w:tcPr>
            <w:tcW w:w="20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4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Shares of common stock sold</w:t>
            </w:r>
          </w:p>
        </w:tc>
        <w:tc>
          <w:tcPr>
            <w:tcW w:w="1160" w:type="dxa"/>
            <w:vAlign w:val="bottom"/>
            <w:shd w:val="clear" w:color="auto" w:fill="CFF0FF"/>
          </w:tcPr>
          <w:p>
            <w:pPr>
              <w:spacing w:after="0"/>
              <w:rPr>
                <w:sz w:val="18"/>
                <w:szCs w:val="18"/>
                <w:color w:val="auto"/>
              </w:rPr>
            </w:pPr>
          </w:p>
        </w:tc>
        <w:tc>
          <w:tcPr>
            <w:tcW w:w="840" w:type="dxa"/>
            <w:vAlign w:val="bottom"/>
            <w:shd w:val="clear" w:color="auto" w:fill="CFF0FF"/>
          </w:tcPr>
          <w:p>
            <w:pPr>
              <w:spacing w:after="0"/>
              <w:rPr>
                <w:sz w:val="18"/>
                <w:szCs w:val="18"/>
                <w:color w:val="auto"/>
              </w:rPr>
            </w:pPr>
          </w:p>
        </w:tc>
        <w:tc>
          <w:tcPr>
            <w:tcW w:w="68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5,547</w:t>
            </w:r>
          </w:p>
        </w:tc>
        <w:tc>
          <w:tcPr>
            <w:tcW w:w="320" w:type="dxa"/>
            <w:vAlign w:val="bottom"/>
            <w:shd w:val="clear" w:color="auto" w:fill="CFF0FF"/>
          </w:tcPr>
          <w:p>
            <w:pPr>
              <w:spacing w:after="0"/>
              <w:rPr>
                <w:sz w:val="18"/>
                <w:szCs w:val="18"/>
                <w:color w:val="auto"/>
              </w:rPr>
            </w:pPr>
          </w:p>
        </w:tc>
        <w:tc>
          <w:tcPr>
            <w:tcW w:w="1260" w:type="dxa"/>
            <w:vAlign w:val="bottom"/>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6,882</w:t>
            </w:r>
          </w:p>
        </w:tc>
        <w:tc>
          <w:tcPr>
            <w:tcW w:w="340" w:type="dxa"/>
            <w:vAlign w:val="bottom"/>
            <w:shd w:val="clear" w:color="auto" w:fill="CFF0FF"/>
          </w:tcPr>
          <w:p>
            <w:pPr>
              <w:spacing w:after="0"/>
              <w:rPr>
                <w:sz w:val="18"/>
                <w:szCs w:val="18"/>
                <w:color w:val="auto"/>
              </w:rPr>
            </w:pPr>
          </w:p>
        </w:tc>
        <w:tc>
          <w:tcPr>
            <w:tcW w:w="104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Aggregate sale price of shares sold</w:t>
            </w:r>
          </w:p>
        </w:tc>
        <w:tc>
          <w:tcPr>
            <w:tcW w:w="20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Company common stock held by the rabbi trust is accounted for within stockholders' equity similar to treasury stock at historical cost with the corresponding deferred compensation obligation also presented within stockholders' equity as additional paid-in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Deferred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Company’s Directors’ Deferred Fee Plan, non-employee directors may elect to defer all or a portion of their annual fees and retainers. Such deferrals are converted into units equivalent to the value of the Company’s stock. Upon the director’s termination, death or disability, accumulated deferrals are distributed in the form of Company common stock in accordance with elections made by the directors. The Company had 104,399 and 101,951 shares reserved for issuance under the Directors’ Deferred Fee Plan at December 31, 2025 and 2024, respectively. The shares reserved for issuance under the Directors’ Deferred Fee Plan are treated as common stock in computing basic earnings per share.</w:t>
      </w:r>
    </w:p>
    <w:p>
      <w:pPr>
        <w:spacing w:after="0" w:line="3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stockholders of the Company approved the 2018 Omnibus Incentive Plan (the 2018 Omnibus Plan) and the Second Amended and Restated 2011 Omnibus Incentive Plan (the 2011 Omnibus Plan) to allow the Company to issue equity based compensation to help attract and retain executive, managerial, supervisory or professional employees and non-employee directors. The 2018 Omnibus Plan has 1,100,000 shares of common stock reserved. The 2011 Omnibus Plan had a total of 2,350,000 shares of common stock reserved. Following stockholder approval of the 2018 Omnibus Plan, no additional awards have been made under the 2011 Omnibus Plan.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2018 Omnibus Plan and the 2011 Omnibus Plan provide for the grant or award of stock options; stock appreciation rights; restricted and unrestricted stock; restricted stock units; and performance unit awards.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December 31, 2025 and 2024, 391,089 shares remain reserved and unissued under the provisions of the 2011 Omnibus Plan, a portion of which are allocated to outstanding stock options described below. At December 31, 2025 and 2024, 574,194 and 633,409 shares, respectively, remain reserved and unissued under the provisions of the 2018 Omnibus Plan, a portion of which are allocated to outstanding performance unit awards, outstanding stock options and restricted stock described below. The Company has historically issued new shares to satisfy stock option exercises or other awards issued under the 2018 Omnibus Plan and 2011 Omnibus Plan.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 option awards have been granted with an exercise price equal to the market price of the Company’s stock at the date of grant. Stock option awards granted to employees under the plans to date are non-qualified stock options, have vesting over three years, subject to earlier vesting upon a change of control and certain other events, and have a seven-year contractual term.</w:t>
      </w:r>
    </w:p>
    <w:p>
      <w:pPr>
        <w:spacing w:after="0" w:line="176" w:lineRule="exact"/>
        <w:rPr>
          <w:sz w:val="20"/>
          <w:szCs w:val="20"/>
          <w:color w:val="auto"/>
        </w:rPr>
      </w:pPr>
    </w:p>
    <w:p>
      <w:pPr>
        <w:jc w:val="both"/>
        <w:ind w:firstLine="572"/>
        <w:spacing w:after="0" w:line="266" w:lineRule="auto"/>
        <w:rPr>
          <w:sz w:val="20"/>
          <w:szCs w:val="20"/>
          <w:color w:val="auto"/>
        </w:rPr>
      </w:pPr>
      <w:r>
        <w:rPr>
          <w:rFonts w:ascii="Times New Roman" w:cs="Times New Roman" w:eastAsia="Times New Roman" w:hAnsi="Times New Roman"/>
          <w:sz w:val="18"/>
          <w:szCs w:val="18"/>
          <w:color w:val="auto"/>
        </w:rPr>
        <w:t>The Company grants shares of restricted stock as part of its long-term incentive plan. These shares of restricted stock generally vest over three years, subject to earlier vesting upon a change of control and certain other events. The value of restricted stock is based on the fair market value of the Company’s common stock at the date of grant.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 the Company has periodically granted shares of restricted stock to certain key executives that vests 25% after three years, 25% after four years and the remaining 50% after five years, assuming the executive has been in continuous service to the Company since the award date, subject to earlier vesting upon a change of control and certain other events.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Stock option and restricted stock compensation expense of $10.2 million, $7.5 million and $5.7 million, was recorded for the years ended December 31, 2025, 2024 and 2023, respectively, and is included in salaries, wages and employees’ benefits. As of December 31, 2025, there is unrecognized compensation expense of $8.6 million related to unvested stock options and restricted stock, which is expected to be recognized over a weighted average period of 1.7 years.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2025 for employees: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vMerge w:val="restart"/>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16,542</w:t>
            </w:r>
          </w:p>
        </w:tc>
        <w:tc>
          <w:tcPr>
            <w:tcW w:w="26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219.14</w:t>
            </w:r>
          </w:p>
        </w:tc>
        <w:tc>
          <w:tcPr>
            <w:tcW w:w="136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gridSpan w:val="2"/>
            <w:shd w:val="clear" w:color="auto" w:fill="CFF0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(11,655)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60" w:type="dxa"/>
            <w:vAlign w:val="bottom"/>
            <w:shd w:val="clear" w:color="auto" w:fill="CFF0FF"/>
          </w:tcPr>
          <w:p>
            <w:pPr>
              <w:spacing w:after="0"/>
              <w:rPr>
                <w:sz w:val="19"/>
                <w:szCs w:val="19"/>
                <w:color w:val="auto"/>
              </w:rPr>
            </w:pPr>
          </w:p>
        </w:tc>
        <w:tc>
          <w:tcPr>
            <w:tcW w:w="1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200" w:type="dxa"/>
            <w:vAlign w:val="bottom"/>
            <w:shd w:val="clear" w:color="auto" w:fill="CFF0FF"/>
          </w:tcPr>
          <w:p>
            <w:pPr>
              <w:spacing w:after="0"/>
              <w:rPr>
                <w:sz w:val="19"/>
                <w:szCs w:val="19"/>
                <w:color w:val="auto"/>
              </w:rPr>
            </w:pPr>
          </w:p>
        </w:tc>
        <w:tc>
          <w:tcPr>
            <w:tcW w:w="11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shd w:val="clear" w:color="auto" w:fill="CFF0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FF0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F"/>
            </w:tcBorders>
            <w:shd w:val="clear" w:color="auto" w:fill="CFF0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F"/>
            </w:tcBorders>
            <w:shd w:val="clear" w:color="auto" w:fill="CFF0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F"/>
            </w:tcBorders>
            <w:shd w:val="clear" w:color="auto" w:fill="CFF0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F"/>
            </w:tcBorders>
            <w:shd w:val="clear" w:color="auto" w:fill="CFF0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-213995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-196850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-213995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-196850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-213995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-196850</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-213995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-196850</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2025, 2024 and 2023 was $2.5 million, $8.3 million, and $7.0 million, respectively. There were no options granted during the years ended December 31, 2025, 2024 and 2023.</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year ended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3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3"/>
                <w:szCs w:val="13"/>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Restricted Stock at December 31, 2024</w:t>
            </w:r>
          </w:p>
        </w:tc>
        <w:tc>
          <w:tcPr>
            <w:tcW w:w="4700" w:type="dxa"/>
            <w:vAlign w:val="bottom"/>
            <w:gridSpan w:val="3"/>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50,174</w:t>
            </w:r>
          </w:p>
        </w:tc>
        <w:tc>
          <w:tcPr>
            <w:tcW w:w="18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$343.36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28,219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Vested</w:t>
            </w:r>
          </w:p>
        </w:tc>
        <w:tc>
          <w:tcPr>
            <w:tcW w:w="4700" w:type="dxa"/>
            <w:vAlign w:val="bottom"/>
            <w:gridSpan w:val="3"/>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(27,494)</w:t>
            </w:r>
          </w:p>
        </w:tc>
        <w:tc>
          <w:tcPr>
            <w:tcW w:w="18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310.96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26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top w:val="single" w:sz="8" w:color="CFF0FF"/>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rPr>
              <w:t>Restricted Stock at December 31, 2025</w:t>
            </w:r>
          </w:p>
        </w:tc>
        <w:tc>
          <w:tcPr>
            <w:tcW w:w="3260" w:type="dxa"/>
            <w:vAlign w:val="bottom"/>
            <w:tcBorders>
              <w:top w:val="single" w:sz="8" w:color="CFF0FF"/>
              <w:bottom w:val="single" w:sz="8" w:color="CFF0FF"/>
            </w:tcBorders>
            <w:shd w:val="clear" w:color="auto" w:fill="CFF0FF"/>
          </w:tcPr>
          <w:p>
            <w:pPr>
              <w:spacing w:after="0"/>
              <w:rPr>
                <w:sz w:val="22"/>
                <w:szCs w:val="22"/>
                <w:color w:val="auto"/>
              </w:rPr>
            </w:pPr>
          </w:p>
        </w:tc>
        <w:tc>
          <w:tcPr>
            <w:tcW w:w="1340" w:type="dxa"/>
            <w:vAlign w:val="bottom"/>
            <w:tcBorders>
              <w:top w:val="single" w:sz="8" w:color="CFF0FF"/>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50,383</w:t>
            </w:r>
          </w:p>
        </w:tc>
        <w:tc>
          <w:tcPr>
            <w:tcW w:w="100" w:type="dxa"/>
            <w:vAlign w:val="bottom"/>
            <w:tcBorders>
              <w:top w:val="single" w:sz="8" w:color="CFF0FF"/>
              <w:bottom w:val="single" w:sz="8" w:color="CFF0FF"/>
            </w:tcBorders>
            <w:shd w:val="clear" w:color="auto" w:fill="CFF0FF"/>
          </w:tcPr>
          <w:p>
            <w:pPr>
              <w:spacing w:after="0"/>
              <w:rPr>
                <w:sz w:val="22"/>
                <w:szCs w:val="22"/>
                <w:color w:val="auto"/>
              </w:rPr>
            </w:pPr>
          </w:p>
        </w:tc>
        <w:tc>
          <w:tcPr>
            <w:tcW w:w="1800" w:type="dxa"/>
            <w:vAlign w:val="bottom"/>
            <w:tcBorders>
              <w:top w:val="single" w:sz="8" w:color="CFF0FF"/>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$381.04</w:t>
            </w:r>
          </w:p>
        </w:tc>
        <w:tc>
          <w:tcPr>
            <w:tcW w:w="20" w:type="dxa"/>
            <w:vAlign w:val="bottom"/>
            <w:tcBorders>
              <w:top w:val="single" w:sz="8" w:color="CFF0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that vested during the years ended December 31, 2025, 2024, and 2023 were $8.5 million, $9.7 million and $1.7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 Awards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grants performance unit awards to executives as part of the Company’s long term incentive plan. The criteria for payout of the awards is based on a comparison over the three-year performance period of these awards of the total stockholder return (TSR) of the Company’s common stock compared to the TSR of the companies in a peer group established by the Compensation and Human Capital Committee. These stock-based awards are accounted for in accordance with ASC Topic 718 with the expense amortized over the three-year performance period based on the fair value of the awards at the grant date measured using the Monte Carlo method. Operating results include expense for the performance unit awards of $6.0 million in 2025, $5.3 million in 2024 and $4.5 million in 2023. Shares earned under the performance unit awards are issued in the first quarter of the year following the end of the performance period. There was an issuance of 24,716 shares for the January 2023 - December 2025 performance period in February 2026, 23,434 shares for the January 2022 - December 2024 performance period in February 2025, and 25,716 shares for the January 2021 - December 2023 performance period in February 2024. At December 31, 2025, performance unit awards are outstanding for a maximum of 15,674 shares for the January 2024 – December 2026 performance period and for a maximum of 21,252 shares for the January 2025 – December 2027 performance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 As of December 31, 2025, there is unrecognized compensation expense of $7.6 million related to unvested performance unit awards, which is expected to be recognized over a weighted average period of 1.7 years.</w:t>
      </w:r>
    </w:p>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performance unit awards during the year ended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5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8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09"/>
        </w:trPr>
        <w:tc>
          <w:tcPr>
            <w:tcW w:w="82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Performance Unit Awards at December 31, 2024</w:t>
            </w:r>
          </w:p>
        </w:tc>
        <w:tc>
          <w:tcPr>
            <w:tcW w:w="1380" w:type="dxa"/>
            <w:vAlign w:val="bottom"/>
            <w:tcBorders>
              <w:top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34,762</w:t>
            </w:r>
          </w:p>
        </w:tc>
        <w:tc>
          <w:tcPr>
            <w:tcW w:w="160" w:type="dxa"/>
            <w:vAlign w:val="bottom"/>
            <w:shd w:val="clear" w:color="auto" w:fill="CFF0FF"/>
          </w:tcPr>
          <w:p>
            <w:pPr>
              <w:spacing w:after="0"/>
              <w:rPr>
                <w:sz w:val="18"/>
                <w:szCs w:val="18"/>
                <w:color w:val="auto"/>
              </w:rPr>
            </w:pPr>
          </w:p>
        </w:tc>
        <w:tc>
          <w:tcPr>
            <w:tcW w:w="1480" w:type="dxa"/>
            <w:vAlign w:val="bottom"/>
            <w:tcBorders>
              <w:top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Added by performance factor</w:t>
            </w:r>
          </w:p>
        </w:tc>
        <w:tc>
          <w:tcPr>
            <w:tcW w:w="13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60" w:type="dxa"/>
            <w:vAlign w:val="bottom"/>
            <w:shd w:val="clear" w:color="auto" w:fill="CFF0FF"/>
          </w:tcPr>
          <w:p>
            <w:pPr>
              <w:spacing w:after="0"/>
              <w:rPr>
                <w:sz w:val="18"/>
                <w:szCs w:val="18"/>
                <w:color w:val="auto"/>
              </w:rPr>
            </w:pPr>
          </w:p>
        </w:tc>
        <w:tc>
          <w:tcPr>
            <w:tcW w:w="14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312.31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Borders>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60" w:type="dxa"/>
            <w:vAlign w:val="bottom"/>
            <w:tcBorders>
              <w:bottom w:val="single" w:sz="8" w:color="CFF0FF"/>
            </w:tcBorders>
            <w:shd w:val="clear" w:color="auto" w:fill="CFF0FF"/>
          </w:tcPr>
          <w:p>
            <w:pPr>
              <w:spacing w:after="0"/>
              <w:rPr>
                <w:sz w:val="18"/>
                <w:szCs w:val="18"/>
                <w:color w:val="auto"/>
              </w:rPr>
            </w:pPr>
          </w:p>
        </w:tc>
        <w:tc>
          <w:tcPr>
            <w:tcW w:w="14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679.81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Unit Awards at December 31, 2025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-170815</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fair value of performance unit awards shares that vested during the years ended December 31, 2025, 2024, and 2023 were $11.8 million, $13.7 million and $4.2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Awards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2018 Omnibus Plan provides for an annual grant to each non-employee director of shares of Saia stock with a value not to exceed $500,000 with the number of shares to be determined each year by the Compensation and Human Capital Committee. For 2025, 2024 and 2023 each non-employee director was granted 318, 301 and 379 shares, respectively, of Saia stock under the 2018 Omnibus Plan. These shares vest in one year from grant, subject to accelerated vesting upon leaving the Board (other than for cause) or a change in control.</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Director’s Deferred Fee Plan, non-employee directors may defer all or a portion of annual fees and awards earned. The deferrals are converted into units equivalent to the value of Company common stock. Upon the director’s termination, death or disability, accumulated deferrals are distributed in the form of Company common stock in accordance with elections made by the directors. Non-employee directors were issued 2,448; 1,841; and 2,729 units equivalent to shares in the Company's common stock under the Directors' Deferred Fee Plan during the years ended December 31, 2025, 2024 and 2023, respectively.</w:t>
      </w:r>
    </w:p>
    <w:p>
      <w:pPr>
        <w:spacing w:after="0" w:line="3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sponsors defined contribution plans, principally consisting of contributory 401(k) savings plans and noncontributory profit sharing plans. The Company’s contributions to the 401(k) savings plans consist of a matching percentage of employee contributions up to certain maximum limits. The Company match has historically been 50 percent of the first six percent of an eligible employee’s contributions. The Company’s total contributions to the 401(k) savings plans included in salaries, wages and employees' benefits for the years ended December 31, 2025, 2024 and 2023, were $20.7 million, $19.0 million, and $15.2 million,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Incentive Awards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provides cash incentive awards to certain salaried employees which are based primarily on actual operating results achieved for the year, compared to targeted operating results. Operating results include cash incentive awards of $15.8 million, $12.4 million, and $38.8 million for the years ended December 31, 2025, 2024 and 2023, respectively. Included in these amounts are also incentives that are based on other targets specifically associated with the respective employees' positions.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adopted the Employee Stock Purchase Plan of Saia, Inc. (the ESPP) allowing eligible employees to purchase common stock of the Company at current market prices through payroll deductions of up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 percent of annual wages. The ESPP allows highly compensated employees as defined by Section 401(a)(17) of the Internal Revenue Code to make payroll deductions of up to 20 percent of annual wages to purchase common stock of the Company. The custodian uses the funds to purchase the Company’s common stock at current market prices. The custodian purchased 1,513, 1,066 and 1,420 shares in the open market during the years ended December 31, 2025, 2024 and 2023, respectively.</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income tax provision consists of the following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90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37,563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82,802</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10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3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50,722</w:t>
            </w: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101,300</w:t>
            </w:r>
          </w:p>
        </w:tc>
        <w:tc>
          <w:tcPr>
            <w:tcW w:w="0" w:type="dxa"/>
            <w:vAlign w:val="bottom"/>
          </w:tcPr>
          <w:p>
            <w:pPr>
              <w:spacing w:after="0"/>
              <w:rPr>
                <w:sz w:val="1"/>
                <w:szCs w:val="1"/>
                <w:color w:val="auto"/>
              </w:rPr>
            </w:pPr>
          </w:p>
        </w:tc>
      </w:tr>
      <w:tr>
        <w:trPr>
          <w:trHeight w:val="250"/>
        </w:trPr>
        <w:tc>
          <w:tcPr>
            <w:tcW w:w="5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Borders>
              <w:top w:val="single" w:sz="8" w:color="CFF0FC"/>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61,583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10,345</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63,221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10,070</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00" w:type="dxa"/>
            <w:vAlign w:val="bottom"/>
          </w:tcPr>
          <w:p>
            <w:pPr>
              <w:spacing w:after="0"/>
              <w:rPr>
                <w:sz w:val="21"/>
                <w:szCs w:val="21"/>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82,353</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113,943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111,370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-814070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-814070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-814070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-196850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-196850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-196850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between income taxes at the federal statutory rate (21 percent) and the actual income tax provision is as follows (in thousands):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0"/>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at federal statutory rate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70,852</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99,962</w:t>
            </w:r>
          </w:p>
        </w:tc>
        <w:tc>
          <w:tcPr>
            <w:tcW w:w="3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97,908</w:t>
            </w:r>
          </w:p>
        </w:tc>
        <w:tc>
          <w:tcPr>
            <w:tcW w:w="3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Excess tax benefit on stock compensation</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(923)</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(1,004)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82,353</w:t>
            </w:r>
          </w:p>
        </w:tc>
        <w:tc>
          <w:tcPr>
            <w:tcW w:w="32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113,943</w:t>
            </w:r>
          </w:p>
        </w:tc>
        <w:tc>
          <w:tcPr>
            <w:tcW w:w="320" w:type="dxa"/>
            <w:vAlign w:val="bottom"/>
            <w:shd w:val="clear" w:color="auto" w:fill="CFF0FC"/>
          </w:tcPr>
          <w:p>
            <w:pPr>
              <w:spacing w:after="0"/>
              <w:rPr>
                <w:sz w:val="23"/>
                <w:szCs w:val="2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111,370</w:t>
            </w:r>
          </w:p>
        </w:tc>
        <w:tc>
          <w:tcPr>
            <w:tcW w:w="32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111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111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firstLine="8"/>
        <w:spacing w:after="0" w:line="282" w:lineRule="auto"/>
        <w:tabs>
          <w:tab w:leader="none" w:pos="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Illinois, Pennsylvania, Georgia, Tennessee, Arizona, North Carolina, Kansas and Indiana made up the majority (greater than 50 percent) of the tax effect in this category for 2025, 2024, and 2023.</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(liabilities) assets are comprised of the following at December 31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(325,806)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(258,528)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(37,158)</w:t>
            </w: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(31,473)</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(7,267)</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(6,855)</w:t>
            </w:r>
          </w:p>
        </w:tc>
      </w:tr>
      <w:tr>
        <w:trPr>
          <w:trHeight w:val="20"/>
        </w:trPr>
        <w:tc>
          <w:tcPr>
            <w:tcW w:w="586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(370,231)</w:t>
            </w:r>
          </w:p>
        </w:tc>
        <w:tc>
          <w:tcPr>
            <w:tcW w:w="2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(296,856)</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1,259</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5,912</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5,531</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7,717</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7,958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34,863</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30,815</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and insurance</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26,332</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22,564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9,830</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10,032</w:t>
            </w:r>
          </w:p>
        </w:tc>
      </w:tr>
      <w:tr>
        <w:trPr>
          <w:trHeight w:val="20"/>
        </w:trPr>
        <w:tc>
          <w:tcPr>
            <w:tcW w:w="5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85,913</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77,947</w:t>
            </w:r>
          </w:p>
        </w:tc>
      </w:tr>
      <w:tr>
        <w:trPr>
          <w:trHeight w:val="20"/>
        </w:trPr>
        <w:tc>
          <w:tcPr>
            <w:tcW w:w="586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5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85,861</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77,794</w:t>
            </w:r>
          </w:p>
        </w:tc>
      </w:tr>
      <w:tr>
        <w:trPr>
          <w:trHeight w:val="20"/>
        </w:trPr>
        <w:tc>
          <w:tcPr>
            <w:tcW w:w="586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(284,370)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(219,062)</w:t>
            </w:r>
          </w:p>
        </w:tc>
      </w:tr>
      <w:tr>
        <w:trPr>
          <w:trHeight w:val="20"/>
        </w:trPr>
        <w:tc>
          <w:tcPr>
            <w:tcW w:w="5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-1654175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-1654175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-196850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-196850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and various state jurisdictions. For the U.S. federal jurisdiction, tax years 2022-2025 remain open to examination. The expiration of the statute of limitations related to the various state income tax returns that the Company files varies by state. In general, tax years 2016-2025 remain open to examination by the various state and local jurisdictions.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total amounts of gross unrecognized tax benefits is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unrecognized tax benefits at beginning of year</w:t>
            </w: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4,692</w:t>
            </w:r>
          </w:p>
        </w:tc>
      </w:tr>
      <w:tr>
        <w:trPr>
          <w:trHeight w:val="216"/>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(decreases) increases in tax positions for prior years</w:t>
            </w:r>
          </w:p>
        </w:tc>
        <w:tc>
          <w:tcPr>
            <w:tcW w:w="7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Gross increases in tax positions for current year</w:t>
            </w:r>
          </w:p>
        </w:tc>
        <w:tc>
          <w:tcPr>
            <w:tcW w:w="7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7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7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(1,518)</w:t>
            </w:r>
          </w:p>
        </w:tc>
      </w:tr>
      <w:tr>
        <w:trPr>
          <w:trHeight w:val="20"/>
        </w:trPr>
        <w:tc>
          <w:tcPr>
            <w:tcW w:w="75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Gross unrecognized tax benefits at end of year</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6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w:t>
            </w:r>
          </w:p>
        </w:tc>
      </w:tr>
      <w:tr>
        <w:trPr>
          <w:trHeight w:val="20"/>
        </w:trPr>
        <w:tc>
          <w:tcPr>
            <w:tcW w:w="7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-196215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-196215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a component of income tax expense. The total amount of unrecognized tax benefits, which is recorded within claims, insurance and other liabilities on the consolidated balance sheets, that would affect the Company’s effective tax rate if recognized is $3.0 million and $3.2 million as of December 31, 2025 and 2024,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paid cash for income taxes of $6.1 million, $101.2 million, and $72.8 million in 2025, 2024 and 2023, respectively. The following table presents cash paid for income taxes, by jurisdictions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81,400</w:t>
            </w:r>
          </w:p>
        </w:tc>
        <w:tc>
          <w:tcPr>
            <w:tcW w:w="3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26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income tax cash paid</w:t>
            </w:r>
          </w:p>
        </w:tc>
        <w:tc>
          <w:tcPr>
            <w:tcW w:w="352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101,200</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60" w:type="dxa"/>
            <w:vAlign w:val="bottom"/>
            <w:vMerge w:val="restart"/>
          </w:tcPr>
          <w:p>
            <w:pPr>
              <w:jc w:val="right"/>
              <w:ind w:right="676"/>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-1268095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-1268095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rollforward of the allowance for credit losses for receivables (in thousands):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beginning</w:t>
            </w:r>
          </w:p>
        </w:tc>
        <w:tc>
          <w:tcPr>
            <w:tcW w:w="258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end of</w:t>
            </w: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16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Charged to costs</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Deductions(1)</w:t>
            </w:r>
          </w:p>
        </w:tc>
        <w:tc>
          <w:tcPr>
            <w:tcW w:w="220" w:type="dxa"/>
            <w:vAlign w:val="bottom"/>
            <w:vMerge w:val="restart"/>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 accounts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the period ended December 31, 2025</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4,224</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7,776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(6,906)</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December 31, 2024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(3,615)</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4,224</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the period ended December 31, 2023</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5,804</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(3,332)</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Primarily uncollectible accounts written off —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170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Controls Evaluation and Related CEO and CFO Certifications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the Company conducted an evaluation of the effectiveness of the design and operation of its “disclosure controls and procedures” (Disclosure Controls). The Disclosure Controls evaluation was performed under the supervision and with the participation of management, including the Company’s Chief Executive Officer (CEO) and Chief Financial Officer (CFO).</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upon the controls evaluation, the Company’s CEO and CFO have concluded that, as of the end of the period covered by this Annual Report on Form 10-K, the Company’s Disclosure Controls are effective to ensure that information the Company is required to disclose in reports that the Company files or submits under the Securities Exchange Act of 1934, as amended (the Exchange Act), is recorded, processed, summarized and reported within the time periods specified in SEC rules and forms.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fourth quarter of 2025 covered by this Form 10-K, there were no changes in internal control over financial reporting that materially affected, or that are reasonably likely to materially affect, the Company’s internal control over financial reporting. Attached as Exhibits 31.1 and 31.2 to this Annual Report are certifications of the CEO and the CFO, which are required in accordance with Rule 13a-14 of the Exchange Act. This Controls and Procedures section includes the information concerning the controls evaluation referred to in the certifications and it should be read in conjunction with the certifications.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Disclosure Controls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Disclosure Controls are controls and procedures designed to ensure that information required to be disclosed in the Company’s reports filed under the Exchange Act is recorded, processed, summarized and reported timely. Disclosure Controls are also designed to ensure that such information is accumulated and communicated to the Company’s management, including the CEO and CFO, as appropriate to allow timely decisions regarding required disclosure. The Company’s Disclosure Controls include components of its internal control over financial reporting which consists of control processes designed to provide reasonable assurance regarding the reliability of the Company’s financial reporting and the preparation of financial statements in accordance with U.S.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the CEO and CFO, does not expect that its Disclosure Controls or its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management of Saia, Inc. and its subsidiaries is responsible for establishing and maintaining adequate internal control over financial reporting, as such term is defined in Rule 13a-15(f) of the Securities Exchange Act of 1934.</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2025. In making this assessment, the Company’s management used the criteria established in Internal Control — Integrated Framework (2013) issued by the Committee of Sponsoring Organizations of the Treadway Commission (COSO). The Company’s assessment included a review of the documentation of controls, evaluation of the design effectiveness of controls and testing of the effectiveness of controls. Based on this assessment, management has concluded that as of December 31, 2025, the Company’s internal control over financial reporting is effective based on those criteria.</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LLP, has issued an audit report on the Company’s internal control over financial reporting as of December 31, 2025, which report appears on page 49 of this Form 10-K.</w:t>
      </w:r>
    </w:p>
    <w:p>
      <w:pPr>
        <w:sectPr>
          <w:pgSz w:w="11900" w:h="16838" w:orient="portrait"/>
          <w:cols w:equalWidth="0" w:num="1">
            <w:col w:w="11240"/>
          </w:cols>
          <w:pgMar w:left="320" w:top="1413" w:right="339" w:bottom="1440" w:gutter="0" w:footer="0" w:header="0"/>
        </w:sectPr>
      </w:pP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Frederick J. Holzgrefe</w:t>
      </w:r>
    </w:p>
    <w:p>
      <w:pPr>
        <w:spacing w:after="0" w:line="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Matthew J. Batteh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3060" w:space="720"/>
            <w:col w:w="7460"/>
          </w:cols>
          <w:pgMar w:left="320" w:top="1413" w:right="33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 director or officer of the Company adopted or terminated a “Rule 10b5-1 trading arrangement” or “non-Rule 10b5-1 trading arrangement,” as each term is defined in Item 408(a) of Regulation S-K.</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10 will be presented in the Company’s definitive proxy statement for its annual meeting of stockholders, which will be held on April 29, 2026, and is incorporated herein by reference. Certain information regarding executive officers of Saia is included above in Part I of this Form 10-K under the caption “Information about our Executive Officers”. The information required by this item regarding delinquent filers pursuant to Item 405 of Regulation S-K will be included under the caption “Delinquent Section 16(a) Reports” in the Company's definitive proxy statement for its annual meeting of stockholders, which will be held on April 29, 2026, and is incorporated herein by reference.</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its principal executive officer, principal financial officer, and principal accounting officer or controller. The Company’s Code of Business Conduct and Ethics, as well as its Corporate Governance Guidelines and the charters of its Audit, Compensation and Human Capital, and Nominating and Governance Committees, are available on the Company’s website, www.saia.com/about-us/investor-relations/governance. The Company intends to disclose any amendments to, or waivers from, its Code of Business Conduct and Ethics that apply to the Company’s principal executive officer, principal financial officer, and principal accounting officer or controller on the Company’s website, www.saia.com/about-us/investor-relations/governance, under the “Governance” caption, promptly following the date of any such amendment or waiver.</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Company personnel, including directors, officers, employees, and other covered persons, and the Company itself. The Company believes that its insider trading policy is designed to promote compliance with insider trading laws, rules and regulations, and listing standards applicable to the Company. A copy of the Company’s insider trading policy is filed as Exhibit 19.1 to this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executive compensation will be presented in the Company’s definitive proxy statement for its annual meeting of stockholders, which will be held on April 29, 2026,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December 31, 2025</w:t>
      </w:r>
    </w:p>
    <w:p>
      <w:pPr>
        <w:spacing w:after="0" w:line="3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60" w:type="dxa"/>
            <w:vAlign w:val="bottom"/>
          </w:tcPr>
          <w:p>
            <w:pPr>
              <w:spacing w:after="0"/>
              <w:rPr>
                <w:sz w:val="12"/>
                <w:szCs w:val="12"/>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80" w:type="dxa"/>
            <w:vAlign w:val="bottom"/>
          </w:tcPr>
          <w:p>
            <w:pPr>
              <w:spacing w:after="0"/>
              <w:rPr>
                <w:sz w:val="12"/>
                <w:szCs w:val="12"/>
                <w:color w:val="auto"/>
              </w:rPr>
            </w:pPr>
          </w:p>
        </w:tc>
        <w:tc>
          <w:tcPr>
            <w:tcW w:w="18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issuances under</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80" w:type="dxa"/>
            <w:vAlign w:val="bottom"/>
          </w:tcPr>
          <w:p>
            <w:pPr>
              <w:spacing w:after="0"/>
              <w:rPr>
                <w:sz w:val="12"/>
                <w:szCs w:val="12"/>
                <w:color w:val="auto"/>
              </w:rPr>
            </w:pPr>
          </w:p>
        </w:tc>
        <w:tc>
          <w:tcPr>
            <w:tcW w:w="18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3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80" w:type="dxa"/>
            <w:vAlign w:val="bottom"/>
          </w:tcPr>
          <w:p>
            <w:pPr>
              <w:spacing w:after="0"/>
              <w:rPr>
                <w:sz w:val="12"/>
                <w:szCs w:val="12"/>
                <w:color w:val="auto"/>
              </w:rPr>
            </w:pPr>
          </w:p>
        </w:tc>
        <w:tc>
          <w:tcPr>
            <w:tcW w:w="18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80" w:type="dxa"/>
            <w:vAlign w:val="bottom"/>
          </w:tcPr>
          <w:p>
            <w:pPr>
              <w:spacing w:after="0"/>
              <w:rPr>
                <w:sz w:val="15"/>
                <w:szCs w:val="15"/>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8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CFF0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1500" w:type="dxa"/>
            <w:vAlign w:val="bottom"/>
            <w:shd w:val="clear" w:color="auto" w:fill="CFF0FF"/>
          </w:tcPr>
          <w:p>
            <w:pPr>
              <w:spacing w:after="0"/>
              <w:rPr>
                <w:sz w:val="17"/>
                <w:szCs w:val="17"/>
                <w:color w:val="auto"/>
              </w:rPr>
            </w:pPr>
          </w:p>
        </w:tc>
        <w:tc>
          <w:tcPr>
            <w:tcW w:w="960" w:type="dxa"/>
            <w:vAlign w:val="bottom"/>
            <w:shd w:val="clear" w:color="auto" w:fill="CFF0FF"/>
          </w:tcPr>
          <w:p>
            <w:pPr>
              <w:spacing w:after="0"/>
              <w:rPr>
                <w:sz w:val="17"/>
                <w:szCs w:val="17"/>
                <w:color w:val="auto"/>
              </w:rPr>
            </w:pPr>
          </w:p>
        </w:tc>
        <w:tc>
          <w:tcPr>
            <w:tcW w:w="360" w:type="dxa"/>
            <w:vAlign w:val="bottom"/>
            <w:shd w:val="clear" w:color="auto" w:fill="CFF0FF"/>
          </w:tcPr>
          <w:p>
            <w:pPr>
              <w:spacing w:after="0"/>
              <w:rPr>
                <w:sz w:val="17"/>
                <w:szCs w:val="17"/>
                <w:color w:val="auto"/>
              </w:rPr>
            </w:pPr>
          </w:p>
        </w:tc>
        <w:tc>
          <w:tcPr>
            <w:tcW w:w="120" w:type="dxa"/>
            <w:vAlign w:val="bottom"/>
            <w:shd w:val="clear" w:color="auto" w:fill="CFF0FF"/>
          </w:tcPr>
          <w:p>
            <w:pPr>
              <w:spacing w:after="0"/>
              <w:rPr>
                <w:sz w:val="17"/>
                <w:szCs w:val="17"/>
                <w:color w:val="auto"/>
              </w:rPr>
            </w:pPr>
          </w:p>
        </w:tc>
        <w:tc>
          <w:tcPr>
            <w:tcW w:w="1220" w:type="dxa"/>
            <w:vAlign w:val="bottom"/>
            <w:shd w:val="clear" w:color="auto" w:fill="CFF0FF"/>
          </w:tcPr>
          <w:p>
            <w:pPr>
              <w:spacing w:after="0"/>
              <w:rPr>
                <w:sz w:val="17"/>
                <w:szCs w:val="17"/>
                <w:color w:val="auto"/>
              </w:rPr>
            </w:pPr>
          </w:p>
        </w:tc>
        <w:tc>
          <w:tcPr>
            <w:tcW w:w="280" w:type="dxa"/>
            <w:vAlign w:val="bottom"/>
            <w:shd w:val="clear" w:color="auto" w:fill="CFF0FF"/>
          </w:tcPr>
          <w:p>
            <w:pPr>
              <w:spacing w:after="0"/>
              <w:rPr>
                <w:sz w:val="17"/>
                <w:szCs w:val="17"/>
                <w:color w:val="auto"/>
              </w:rPr>
            </w:pPr>
          </w:p>
        </w:tc>
        <w:tc>
          <w:tcPr>
            <w:tcW w:w="1460" w:type="dxa"/>
            <w:vAlign w:val="bottom"/>
            <w:shd w:val="clear" w:color="auto" w:fill="CFF0FF"/>
          </w:tcPr>
          <w:p>
            <w:pPr>
              <w:spacing w:after="0"/>
              <w:rPr>
                <w:sz w:val="17"/>
                <w:szCs w:val="17"/>
                <w:color w:val="auto"/>
              </w:rPr>
            </w:pPr>
          </w:p>
        </w:tc>
        <w:tc>
          <w:tcPr>
            <w:tcW w:w="34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F"/>
          </w:tcPr>
          <w:p>
            <w:pPr>
              <w:ind w:left="2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46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4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2080" w:type="dxa"/>
            <w:vAlign w:val="bottom"/>
            <w:gridSpan w:val="3"/>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569,307 (1)</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5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50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FF0FF"/>
          </w:tcPr>
          <w:p>
            <w:pPr>
              <w:spacing w:after="0"/>
              <w:rPr>
                <w:sz w:val="23"/>
                <w:szCs w:val="23"/>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4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74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569,307</w:t>
            </w:r>
          </w:p>
        </w:tc>
        <w:tc>
          <w:tcPr>
            <w:tcW w:w="340" w:type="dxa"/>
            <w:vAlign w:val="bottom"/>
            <w:shd w:val="clear" w:color="auto" w:fill="CFF0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F"/>
            </w:tcBorders>
            <w:shd w:val="clear" w:color="auto" w:fill="CFF0FF"/>
          </w:tcPr>
          <w:p>
            <w:pPr>
              <w:spacing w:after="0" w:line="20" w:lineRule="exact"/>
              <w:rPr>
                <w:sz w:val="1"/>
                <w:szCs w:val="1"/>
                <w:color w:val="auto"/>
              </w:rPr>
            </w:pPr>
          </w:p>
        </w:tc>
        <w:tc>
          <w:tcPr>
            <w:tcW w:w="1500" w:type="dxa"/>
            <w:vAlign w:val="bottom"/>
            <w:tcBorders>
              <w:top w:val="single" w:sz="8" w:color="CFF0FF"/>
            </w:tcBorders>
            <w:shd w:val="clear" w:color="auto" w:fill="CFF0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F"/>
            </w:tcBorders>
            <w:shd w:val="clear" w:color="auto" w:fill="CFF0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F"/>
            </w:tcBorders>
            <w:shd w:val="clear" w:color="auto" w:fill="CFF0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-24765</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-7620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7" w:lineRule="exact"/>
        <w:rPr>
          <w:sz w:val="20"/>
          <w:szCs w:val="20"/>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 to the audited consolidated financial statements for a description of the equity compensation plans for securities remaining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21170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will be presented in the Company’s definitive proxy statement for its annual meeting of stockholders, which will be held on April 29, 2026,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related party transactions and director independence will be presented in the Company’s definitive proxy statement for its annual meeting of stockholders, which will be held on April 29, 2026,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accounting fees and services will be presented in the Company’s definitive proxy statement for its annual meeting of stockholders, which will be held on April 29, 2026, and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required by this item are included in Part II, Item 8, “Financial Statements and Supplementary Data” herein.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Schedule II — Valuation and Qualifying Accounts information is included in Note 11 to the consolidated financial statements contained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financial statement schedules have been omitted because they are 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Asset Purchase Agreement dated December 5, 2023 by and among Saia, Inc., Saia Motor Freight Line, LLC, Yellow Corporation, New</w:t>
              </w:r>
            </w:hyperlink>
          </w:p>
        </w:tc>
        <w:tc>
          <w:tcPr>
            <w:tcW w:w="20" w:type="dxa"/>
            <w:vAlign w:val="bottom"/>
            <w:tcBorders>
              <w:bottom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Penn Motor Express LLC, USF Holland LLC, USF Reddaway Inc., YRC Inc. and YRC Freight Canada Company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reference to Exhibit 2.1 of Saia, Inc’s Form 8-K (File No. 0-49983) filed on December 11, 2023). †</w:t>
              </w:r>
            </w:hyperlink>
          </w:p>
        </w:tc>
        <w:tc>
          <w:tcPr>
            <w:tcW w:w="29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Second Amended and Restated Certificate of Incorporation of Saia, Inc., (incorporated herein by reference to Exhibit 3.1 of Saia, Inc.’s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Form 8-K (File No. 0-49983) filed on May 1, 2024).</w:t>
              </w:r>
            </w:hyperlink>
          </w:p>
        </w:tc>
        <w:tc>
          <w:tcPr>
            <w:tcW w:w="20" w:type="dxa"/>
            <w:vAlign w:val="bottom"/>
            <w:tcBorders>
              <w:bottom w:val="single" w:sz="8" w:color="0000EE"/>
            </w:tcBorders>
          </w:tcPr>
          <w:p>
            <w:pPr>
              <w:spacing w:after="0"/>
              <w:rPr>
                <w:sz w:val="17"/>
                <w:szCs w:val="17"/>
                <w:color w:val="auto"/>
              </w:rPr>
            </w:pPr>
          </w:p>
        </w:tc>
        <w:tc>
          <w:tcPr>
            <w:tcW w:w="6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Amended and Restated By-laws of Saia, Inc., as amended (incorporated herein by reference to Exhibit 3.1 of Saia, Inc.’s Form 8-K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No. 0-49983) filed on July 29, 2008).</w:t>
              </w:r>
            </w:hyperlink>
          </w:p>
        </w:tc>
        <w:tc>
          <w:tcPr>
            <w:tcW w:w="7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3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Description of Securities of the Registrant.</w:t>
            </w:r>
          </w:p>
        </w:tc>
        <w:tc>
          <w:tcPr>
            <w:tcW w:w="20" w:type="dxa"/>
            <w:vAlign w:val="bottom"/>
            <w:tcBorders>
              <w:bottom w:val="single" w:sz="8" w:color="0000EE"/>
            </w:tcBorders>
          </w:tcPr>
          <w:p>
            <w:pPr>
              <w:spacing w:after="0"/>
              <w:rPr>
                <w:sz w:val="24"/>
                <w:szCs w:val="24"/>
                <w:color w:val="auto"/>
              </w:rPr>
            </w:pPr>
          </w:p>
        </w:tc>
        <w:tc>
          <w:tcPr>
            <w:tcW w:w="70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Private Shelf Agreement, dated as of November 9, 2023, between Saia, Inc., The Prudential Insurance Company of America and other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Noteholders named therein (incorporated by reference to Exhibit 4.1 of Saia, Inc’s Form 8-K (File No. 0-49983) filed on November 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2023).</w:t>
              </w:r>
            </w:hyperlink>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Credit Agreement dated February 3, 2023 by and among Saia, Inc., JP Morgan Chase, N.A. as Administrative Agent, BOKF, NA dba Bank</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of Oklahoma, N.A. as Syndication Agent, and the lenders named therein (incorporated herein by reference to Exhibit 10.1 of Saia, Inc.’s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Form 8-K (File No. 0-49983) filed on February 6, 2023).</w:t>
              </w:r>
            </w:hyperlink>
          </w:p>
        </w:tc>
        <w:tc>
          <w:tcPr>
            <w:tcW w:w="20" w:type="dxa"/>
            <w:vAlign w:val="bottom"/>
            <w:tcBorders>
              <w:bottom w:val="single" w:sz="8" w:color="0000EE"/>
            </w:tcBorders>
          </w:tcPr>
          <w:p>
            <w:pPr>
              <w:spacing w:after="0"/>
              <w:rPr>
                <w:sz w:val="17"/>
                <w:szCs w:val="17"/>
                <w:color w:val="auto"/>
              </w:rPr>
            </w:pPr>
          </w:p>
        </w:tc>
        <w:tc>
          <w:tcPr>
            <w:tcW w:w="60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Amendment No. 1 to Credit Agreement dated as of October 31, 2023 by and among Saia, Inc., JP Morgan Chase Bank, N.A.,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Administrative Agent, and the lenders named therein (incorporated herein by reference to Exhibit 10.1 of Saia, Inc.'s Form 8-K (File No. 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49983) filed on November 6,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10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Amendment No. 2 to Credit Agreement, dated as of December 9, 2024, by and among Saia, Inc., JP Morgan Chase Bank, N.A., as</w:t>
              </w:r>
            </w:hyperlink>
          </w:p>
        </w:tc>
        <w:tc>
          <w:tcPr>
            <w:tcW w:w="20" w:type="dxa"/>
            <w:vAlign w:val="bottom"/>
            <w:tcBorders>
              <w:bottom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Administrative Agent, and the lenders named therein (including a conformed Credit Agreement as Exhibit A thereto) (incorporation herein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by reference to Exhibit 10.1 of Saia, Inc’s Form 8-K (File No. 0-49983) filed on December 10, 2024).</w:t>
              </w:r>
            </w:hyperlink>
          </w:p>
        </w:tc>
        <w:tc>
          <w:tcPr>
            <w:tcW w:w="20" w:type="dxa"/>
            <w:vAlign w:val="bottom"/>
            <w:tcBorders>
              <w:bottom w:val="single" w:sz="8" w:color="0000EE"/>
            </w:tcBorders>
          </w:tcPr>
          <w:p>
            <w:pPr>
              <w:spacing w:after="0"/>
              <w:rPr>
                <w:sz w:val="17"/>
                <w:szCs w:val="17"/>
                <w:color w:val="auto"/>
              </w:rPr>
            </w:pPr>
          </w:p>
        </w:tc>
        <w:tc>
          <w:tcPr>
            <w:tcW w:w="27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of Indemnification Agreement (incorporated by reference to Exhibit 10.2 of Saia, Inc.’s Form 8-K (File No. 0-49983) filed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December 13, 2006).*</w:t>
              </w:r>
            </w:hyperlink>
          </w:p>
        </w:tc>
        <w:tc>
          <w:tcPr>
            <w:tcW w:w="85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SCS Transportation, Inc. Directors’ Deferred Fee Plan as adopted December 11, 2003 (incorporated herein by reference to Exhibit 10.15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Saia, Inc.’s Form 10-K (File No. 0-49983) for the year ended December 31, 2003).*</w:t>
              </w:r>
            </w:hyperlink>
          </w:p>
        </w:tc>
        <w:tc>
          <w:tcPr>
            <w:tcW w:w="20" w:type="dxa"/>
            <w:vAlign w:val="bottom"/>
            <w:tcBorders>
              <w:bottom w:val="single" w:sz="8" w:color="0000EE"/>
            </w:tcBorders>
          </w:tcPr>
          <w:p>
            <w:pPr>
              <w:spacing w:after="0"/>
              <w:rPr>
                <w:sz w:val="17"/>
                <w:szCs w:val="17"/>
                <w:color w:val="auto"/>
              </w:rPr>
            </w:pPr>
          </w:p>
        </w:tc>
        <w:tc>
          <w:tcPr>
            <w:tcW w:w="40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Executive Severance Agreement used prior to 2009 (incorporated herein by reference to Exhibit 10.9 of Saia, Inc.’s Form 10-K</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(File No. 0-49983) for the year ended December 31, 2002).*</w:t>
              </w:r>
            </w:hyperlink>
          </w:p>
        </w:tc>
        <w:tc>
          <w:tcPr>
            <w:tcW w:w="20" w:type="dxa"/>
            <w:vAlign w:val="bottom"/>
            <w:tcBorders>
              <w:bottom w:val="single" w:sz="8" w:color="0000EE"/>
            </w:tcBorders>
          </w:tcPr>
          <w:p>
            <w:pPr>
              <w:spacing w:after="0"/>
              <w:rPr>
                <w:sz w:val="17"/>
                <w:szCs w:val="17"/>
                <w:color w:val="auto"/>
              </w:rPr>
            </w:pPr>
          </w:p>
        </w:tc>
        <w:tc>
          <w:tcPr>
            <w:tcW w:w="57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Executive Severance Agreement (incorporated by reference to Exhibit 10.5.2 of Saia, Inc.’s Form 10-K (File No. 0-49983) for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year ended December 31, 2020).*</w:t>
              </w:r>
            </w:hyperlink>
          </w:p>
        </w:tc>
        <w:tc>
          <w:tcPr>
            <w:tcW w:w="20" w:type="dxa"/>
            <w:vAlign w:val="bottom"/>
            <w:tcBorders>
              <w:bottom w:val="single" w:sz="8" w:color="0000EE"/>
            </w:tcBorders>
          </w:tcPr>
          <w:p>
            <w:pPr>
              <w:spacing w:after="0"/>
              <w:rPr>
                <w:sz w:val="17"/>
                <w:szCs w:val="17"/>
                <w:color w:val="auto"/>
              </w:rPr>
            </w:pPr>
          </w:p>
        </w:tc>
        <w:tc>
          <w:tcPr>
            <w:tcW w:w="76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10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Executive Severance Agreement between Frederick J. Holzgrefe, III and Saia, Inc. dated March 5, 2020 (incorporated herein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to Exhibit 10.4 of Saia, Inc.’s Form 8-K (File No. 0-49983) filed on March 6, 2020).*</w:t>
              </w:r>
            </w:hyperlink>
          </w:p>
        </w:tc>
        <w:tc>
          <w:tcPr>
            <w:tcW w:w="3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of Severance Agreement (incorporated herein by reference to Exhibit 10.4 of Saia’s Form 8-K (File No. 0-49983) filed on February 9,</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49">
              <w:r>
                <w:rPr>
                  <w:rFonts w:ascii="Times New Roman" w:cs="Times New Roman" w:eastAsia="Times New Roman" w:hAnsi="Times New Roman"/>
                  <w:sz w:val="18"/>
                  <w:szCs w:val="18"/>
                  <w:color w:val="0000FF"/>
                  <w:w w:val="97"/>
                </w:rPr>
                <w:t>2015).*</w:t>
              </w:r>
            </w:hyperlink>
          </w:p>
        </w:tc>
        <w:tc>
          <w:tcPr>
            <w:tcW w:w="20" w:type="dxa"/>
            <w:vAlign w:val="bottom"/>
            <w:tcBorders>
              <w:bottom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Employment Agreement between Saia, Inc. and Frederick J. Holzgrefe, III dated March 5, 2020 (incorporated herein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Exhibit 10.3 of Saia, Inc.’s Form 8-K (File No. 0-49983) filed on March 6, 2020).*</w:t>
              </w:r>
            </w:hyperlink>
          </w:p>
        </w:tc>
        <w:tc>
          <w:tcPr>
            <w:tcW w:w="0" w:type="dxa"/>
            <w:vAlign w:val="bottom"/>
          </w:tcPr>
          <w:p>
            <w:pPr>
              <w:spacing w:after="0"/>
              <w:rPr>
                <w:sz w:val="1"/>
                <w:szCs w:val="1"/>
                <w:color w:val="auto"/>
              </w:rPr>
            </w:pPr>
          </w:p>
        </w:tc>
      </w:tr>
      <w:tr>
        <w:trPr>
          <w:trHeight w:val="88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80" w:type="dxa"/>
            <w:vAlign w:val="bottom"/>
            <w:tcBorders>
              <w:top w:val="single" w:sz="8" w:color="0000FF"/>
            </w:tcBorders>
            <w:gridSpan w:val="17"/>
          </w:tcPr>
          <w:p>
            <w:pPr>
              <w:ind w:left="440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160" w:type="dxa"/>
            <w:vAlign w:val="bottom"/>
            <w:gridSpan w:val="19"/>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16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4"/>
                <w:szCs w:val="14"/>
                <w:color w:val="auto"/>
              </w:rPr>
            </w:pPr>
          </w:p>
        </w:tc>
        <w:tc>
          <w:tcPr>
            <w:tcW w:w="1012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Employment Agreement between Saia, Inc. and Richard D. O’Dell dated as of October 24, 2006 (incorporated herein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Exhibit 10.1 of Saia, Inc.’s Form 8-K (File No. 0-49983) filed on October 30, 2006).*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Amendment to Employment Agreement dated as of October 23, 2008 between Saia, Inc. and Richard D. O’Dell (incorporated herein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reference to Exhibit 10.1 of Saia, Inc.’s Form 8-K (File No. 0-49983) filed on October 29, 2008).*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Second Amendment to Employment Agreement dated as of April 1, 2009 between Saia, Inc. and Richard D. O’Dell (incorporated herein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reference to Exhibit 10.1 of Saia’s Form 8-K (File No. 0-49983) filed on April 7, 2009).*</w:t>
              </w:r>
            </w:hyperlink>
          </w:p>
        </w:tc>
        <w:tc>
          <w:tcPr>
            <w:tcW w:w="20" w:type="dxa"/>
            <w:vAlign w:val="bottom"/>
            <w:tcBorders>
              <w:bottom w:val="single" w:sz="8" w:color="0000EE"/>
            </w:tcBorders>
          </w:tcPr>
          <w:p>
            <w:pPr>
              <w:spacing w:after="0"/>
              <w:rPr>
                <w:sz w:val="17"/>
                <w:szCs w:val="17"/>
                <w:color w:val="auto"/>
              </w:rPr>
            </w:pPr>
          </w:p>
        </w:tc>
        <w:tc>
          <w:tcPr>
            <w:tcW w:w="36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Termination of Employment Agreement between Richard D. O’Dell and Saia, Inc. dated March 5, 2020 (incorporated herein by reference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to Exhibit 10.1 of Saia, Inc.’s Form 8-K (File No. 0-49983) filed on March 6, 2020.*</w:t>
              </w:r>
            </w:hyperlink>
          </w:p>
        </w:tc>
        <w:tc>
          <w:tcPr>
            <w:tcW w:w="80" w:type="dxa"/>
            <w:vAlign w:val="bottom"/>
            <w:tcBorders>
              <w:bottom w:val="single" w:sz="8" w:color="0000EE"/>
            </w:tcBorders>
          </w:tcPr>
          <w:p>
            <w:pPr>
              <w:spacing w:after="0"/>
              <w:rPr>
                <w:sz w:val="17"/>
                <w:szCs w:val="17"/>
                <w:color w:val="auto"/>
              </w:rPr>
            </w:pPr>
          </w:p>
        </w:tc>
        <w:tc>
          <w:tcPr>
            <w:tcW w:w="39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Amended and Restated Executive Severance Agreement between Saia, Inc. and Richard D. O’Dell dated as of October 24, 2006</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(incorporated herein by reference to Exhibit 10.3 of Saia, Inc.’s Form 8-K (File No. 0-49983) filed on October 30, 2006).*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Amendment to Amended and Restated Executive Severance Agreement dated as of October 23, 2008 between Saia, Inc. and Richard 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O’Dell (incorporated herein by reference to Exhibit 10.4 of Saia, Inc.’s Form 8-K (File No. 0-49983) filed on October 29, 2008).*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Termination of Executive Severance Agreement between Richard D. O’Dell and Saia, Inc. dated March 5, 2020 (incorporated herein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reference to Exhibit 10.2 of Saia, Inc.’s Form 8-K (File No. 0-49983) filed on March 6,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1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First Amended and Restated Saia, Inc. 2011 Omnibus Incentive Plan (incorporated herein by reference to Exhibit A of Saia’s Definitive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Proxy Statement (File No. 0-49983) filed on March 22, 2013).*</w:t>
              </w:r>
            </w:hyperlink>
          </w:p>
        </w:tc>
        <w:tc>
          <w:tcPr>
            <w:tcW w:w="20" w:type="dxa"/>
            <w:vAlign w:val="bottom"/>
            <w:tcBorders>
              <w:bottom w:val="single" w:sz="8" w:color="0000EE"/>
            </w:tcBorders>
          </w:tcPr>
          <w:p>
            <w:pPr>
              <w:spacing w:after="0"/>
              <w:rPr>
                <w:sz w:val="17"/>
                <w:szCs w:val="17"/>
                <w:color w:val="auto"/>
              </w:rPr>
            </w:pPr>
          </w:p>
        </w:tc>
        <w:tc>
          <w:tcPr>
            <w:tcW w:w="55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Saia, Inc. Annual Cash Bonus Plan (incorporated herein by reference to Exhibit 10.1 of Saia, Inc.'s Form 8-K (File No. 0-49983) filed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February 8, 2023).*</w:t>
              </w:r>
            </w:hyperlink>
          </w:p>
        </w:tc>
        <w:tc>
          <w:tcPr>
            <w:tcW w:w="20" w:type="dxa"/>
            <w:vAlign w:val="bottom"/>
            <w:tcBorders>
              <w:bottom w:val="single" w:sz="8" w:color="0000EE"/>
            </w:tcBorders>
          </w:tcPr>
          <w:p>
            <w:pPr>
              <w:spacing w:after="0"/>
              <w:rPr>
                <w:sz w:val="17"/>
                <w:szCs w:val="17"/>
                <w:color w:val="auto"/>
              </w:rPr>
            </w:pPr>
          </w:p>
        </w:tc>
        <w:tc>
          <w:tcPr>
            <w:tcW w:w="8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10.11(1)</w:t>
            </w:r>
          </w:p>
        </w:tc>
        <w:tc>
          <w:tcPr>
            <w:tcW w:w="120" w:type="dxa"/>
            <w:vAlign w:val="bottom"/>
          </w:tcPr>
          <w:p>
            <w:pPr>
              <w:spacing w:after="0"/>
              <w:rPr>
                <w:sz w:val="24"/>
                <w:szCs w:val="24"/>
                <w:color w:val="auto"/>
              </w:rPr>
            </w:pPr>
          </w:p>
        </w:tc>
        <w:tc>
          <w:tcPr>
            <w:tcW w:w="100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Employee Nonqualified Stock Option Agreement under the Saia, Inc. 2011 Omnibus Incentive Plan for Options Awarded in 2011,</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2012, 2013 and 2014 (incorporated herein by reference to Exhibit 10.1 of Saia’s Form 8-K (File No. 0-49983) filed on May 6, 2011).*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Employee Nonqualified Stock Option Agreement under the Saia, Inc. 2011 Omnibus Incentive Plan for Options awarded in 2015,</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2016, 2017 and 2018 (incorporated herein by reference to Exhibit 10.1 of Saia’s Form 8-K (File No. 0-49983) filed on February 9, 2015).*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20" w:type="dxa"/>
            <w:vAlign w:val="bottom"/>
            <w:tcBorders>
              <w:right w:val="single" w:sz="8" w:color="0000EE"/>
            </w:tcBorders>
            <w:gridSpan w:val="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10.11(3)</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Form of Employee Nonqualified Stock Option Agreement under the Saia, Inc. 2011 Omnibus Incentive Plan for Options Awarded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Richard D. O’Dell in 2015, 2016, 2017 and 2018 (incorporated herein by reference to the executed agreement originally filed as Exhibit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of Saia’s Form 8-K (File No. 0-49983) filed on February 9, 2015).*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of Employee Nonqualified Stock Option Agreement under the Saia, Inc. 2011 Omnibus Incentive Plan for Options Awarded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Frederick J. Holzgrefe, III in 2015, 2016, 2017 and 2018 (incorporated herein by reference to the executed agreement originally filed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Exhibit 10.3 of Saia’s Form 8-K (File No. 0-49983) filed on February 9, 2015).*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860" w:type="dxa"/>
            <w:vAlign w:val="bottom"/>
            <w:tcBorders>
              <w:right w:val="single" w:sz="8" w:color="0000EE"/>
            </w:tcBorders>
            <w:gridSpan w:val="4"/>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Saia, Inc. 2018 Omnibus Incentive Plan (incorporated by reference to Annex A of Saia’s Definitive Proxy Statement (File No. 0-49983)</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filed on March 20, 2018).*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10.12(2)</w:t>
            </w:r>
          </w:p>
        </w:tc>
        <w:tc>
          <w:tcPr>
            <w:tcW w:w="120" w:type="dxa"/>
            <w:vAlign w:val="bottom"/>
          </w:tcPr>
          <w:p>
            <w:pPr>
              <w:spacing w:after="0"/>
              <w:rPr>
                <w:sz w:val="24"/>
                <w:szCs w:val="24"/>
                <w:color w:val="auto"/>
              </w:rPr>
            </w:pPr>
          </w:p>
        </w:tc>
        <w:tc>
          <w:tcPr>
            <w:tcW w:w="6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First Amendment to the Saia, Inc. 2018 Omnibus Incentive Plan dated February 6, 2026.*</w:t>
            </w:r>
          </w:p>
        </w:tc>
        <w:tc>
          <w:tcPr>
            <w:tcW w:w="20" w:type="dxa"/>
            <w:vAlign w:val="bottom"/>
            <w:tcBorders>
              <w:bottom w:val="single" w:sz="8" w:color="0000EE"/>
            </w:tcBorders>
          </w:tcPr>
          <w:p>
            <w:pPr>
              <w:spacing w:after="0"/>
              <w:rPr>
                <w:sz w:val="24"/>
                <w:szCs w:val="24"/>
                <w:color w:val="auto"/>
              </w:rPr>
            </w:pPr>
          </w:p>
        </w:tc>
        <w:tc>
          <w:tcPr>
            <w:tcW w:w="36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of Performance Unit Award Agreement under the Saia, Inc. 2018 Omnibus Incentive Plan for Performance Units Awarded in 2019,</w:t>
              </w:r>
            </w:hyperlink>
          </w:p>
        </w:tc>
        <w:tc>
          <w:tcPr>
            <w:tcW w:w="20" w:type="dxa"/>
            <w:vAlign w:val="bottom"/>
            <w:tcBorders>
              <w:bottom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2020, 2021, 2022 and 2023 (incorporated herein by reference to Exhibit 10.23 of Saia's Form 10-K (File No. 0-49983) filed on February 25,</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67">
              <w:r>
                <w:rPr>
                  <w:rFonts w:ascii="Times New Roman" w:cs="Times New Roman" w:eastAsia="Times New Roman" w:hAnsi="Times New Roman"/>
                  <w:sz w:val="18"/>
                  <w:szCs w:val="18"/>
                  <w:color w:val="0000FF"/>
                  <w:w w:val="97"/>
                </w:rPr>
                <w:t>2019).*</w:t>
              </w:r>
            </w:hyperlink>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020" w:type="dxa"/>
            <w:vAlign w:val="bottom"/>
          </w:tcPr>
          <w:p>
            <w:pPr>
              <w:spacing w:after="0"/>
              <w:rPr>
                <w:sz w:val="24"/>
                <w:szCs w:val="24"/>
                <w:color w:val="auto"/>
              </w:rPr>
            </w:pPr>
          </w:p>
        </w:tc>
        <w:tc>
          <w:tcPr>
            <w:tcW w:w="4700" w:type="dxa"/>
            <w:vAlign w:val="bottom"/>
            <w:gridSpan w:val="6"/>
          </w:tcPr>
          <w:p>
            <w:pPr>
              <w:ind w:left="4520"/>
              <w:spacing w:after="0"/>
              <w:rPr>
                <w:sz w:val="20"/>
                <w:szCs w:val="20"/>
                <w:color w:val="auto"/>
              </w:rPr>
            </w:pPr>
            <w:r>
              <w:rPr>
                <w:rFonts w:ascii="Times New Roman" w:cs="Times New Roman" w:eastAsia="Times New Roman" w:hAnsi="Times New Roman"/>
                <w:sz w:val="18"/>
                <w:szCs w:val="18"/>
                <w:color w:val="auto"/>
                <w:w w:val="88"/>
              </w:rPr>
              <w:t>76</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920" w:type="dxa"/>
            <w:vAlign w:val="bottom"/>
            <w:gridSpan w:val="17"/>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92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10.13(2)</w:t>
            </w:r>
          </w:p>
        </w:tc>
        <w:tc>
          <w:tcPr>
            <w:tcW w:w="120" w:type="dxa"/>
            <w:vAlign w:val="bottom"/>
          </w:tcPr>
          <w:p>
            <w:pPr>
              <w:spacing w:after="0"/>
              <w:rPr>
                <w:sz w:val="14"/>
                <w:szCs w:val="14"/>
                <w:color w:val="auto"/>
              </w:rPr>
            </w:pPr>
          </w:p>
        </w:tc>
        <w:tc>
          <w:tcPr>
            <w:tcW w:w="10120" w:type="dxa"/>
            <w:vAlign w:val="bottom"/>
            <w:tcBorders>
              <w:top w:val="single" w:sz="8" w:color="auto"/>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Form of Performance Unit Award Agreement under the Saia, Inc. 2018 Omnibus Incentive Plan for Performance Units Awarded in 2024</w:t>
              </w:r>
            </w:hyperlink>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(incorporated herein by reference to Exhibit 10.13(2) of Saia’s Form 10-K (File No. 0-49983) filed on February 23, 2024.*</w:t>
              </w:r>
            </w:hyperlink>
          </w:p>
        </w:tc>
        <w:tc>
          <w:tcPr>
            <w:tcW w:w="20" w:type="dxa"/>
            <w:vAlign w:val="bottom"/>
            <w:tcBorders>
              <w:bottom w:val="single" w:sz="8" w:color="0000EE"/>
            </w:tcBorders>
          </w:tcPr>
          <w:p>
            <w:pPr>
              <w:spacing w:after="0"/>
              <w:rPr>
                <w:sz w:val="17"/>
                <w:szCs w:val="17"/>
                <w:color w:val="auto"/>
              </w:rPr>
            </w:pPr>
          </w:p>
        </w:tc>
        <w:tc>
          <w:tcPr>
            <w:tcW w:w="12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Pr>
          <w:p>
            <w:pPr>
              <w:spacing w:after="0"/>
              <w:rPr>
                <w:sz w:val="24"/>
                <w:szCs w:val="24"/>
                <w:color w:val="auto"/>
              </w:rPr>
            </w:pPr>
          </w:p>
        </w:tc>
        <w:tc>
          <w:tcPr>
            <w:tcW w:w="9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Form of Performance Unit Award Agreement under the Saia, Inc. 2018 Omnibus Incentive Plan for Performance Units Awarded in 2025</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(incorporated by reference to Exhibit 10.13(3) of Saia, Inc’s Form 10-K (File No. 0-49983) filed on February 24,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10.13(4)</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Form of Performance Unit Award Agreement under the Saia, Inc. 2018 Omnibus Incentive Plan for Performance Units Awarded in 2026.*†</w:t>
            </w:r>
          </w:p>
        </w:tc>
        <w:tc>
          <w:tcPr>
            <w:tcW w:w="40" w:type="dxa"/>
            <w:vAlign w:val="bottom"/>
            <w:tcBorders>
              <w:bottom w:val="single" w:sz="8" w:color="0000EE"/>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Form of Restricted Stock Agreement under the Saia, Inc. 2018 Omnibus Incentive Plan for Restricted Stock Awarded in 2019, 2020,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2021 (incorporated herein by reference to Exhibit 10.24 of Saia’s Form 10-K (File No. 0-49983) filed on February 25, 2019).*</w:t>
              </w:r>
            </w:hyperlink>
          </w:p>
        </w:tc>
        <w:tc>
          <w:tcPr>
            <w:tcW w:w="10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Form of Restricted Stock Agreement under the Saia, Inc. 2018 Omnibus Incentive Plan for Restricted Stock Awarded in 2022 (incorporated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herein by reference to Exhibit 10.16.2 of Saia’s Form 10-K (File No.0-49983) filed on February 23,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10.14(3)</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Amended and Restated Restricted Stock Agreement under the Saia, Inc. 2018 Omnibus Incentive Plan for Restricted Stock Awarded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Frederick J. Holzgrefe, III in 2023 (incorporated by reference to Exhibit 10.1 of Saia’s Form 10-Q (File No. 0-49983) for the quarter ended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June 30,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10.14(4)</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Form of Amended and Restated Restricted Stock Agreement under the Saia, Inc. 2018 Omnibus Incentive Plan for Restricted Stock</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Awarded in 2023 (incorporated by reference to Exhibit 10.2 of Saia’s Form 10-Q (File No. 0-49983) for the quarter ended June 30,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7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10.14(5)</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Form of Restricted Stock Agreement under the Saia, Inc. 2018 Omnibus Incentive Plan for Restricted Stock Awarded in 2024 (incorporated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by reference to Exhibit 10.14(5) of Saia’s Form 10-K (File No. 0-49983) filed on February 23,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72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10.14(6)</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Restricted Stock Agreement under the Saia, Inc. 2018 Omnibus Incentive Plan for Restricted Stock Awarded to Frederick J. Holzgrefe, III</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in 2024 (incorporated by reference to Exhibit 10.14(6) of Saia’s Form 10-K (File No. 0-49983) filed on February 23, 2024).*</w:t>
              </w:r>
            </w:hyperlink>
          </w:p>
        </w:tc>
        <w:tc>
          <w:tcPr>
            <w:tcW w:w="20" w:type="dxa"/>
            <w:vAlign w:val="bottom"/>
            <w:tcBorders>
              <w:bottom w:val="single" w:sz="8" w:color="0000EE"/>
            </w:tcBorders>
          </w:tcPr>
          <w:p>
            <w:pPr>
              <w:spacing w:after="0"/>
              <w:rPr>
                <w:sz w:val="17"/>
                <w:szCs w:val="17"/>
                <w:color w:val="auto"/>
              </w:rPr>
            </w:pPr>
          </w:p>
        </w:tc>
        <w:tc>
          <w:tcPr>
            <w:tcW w:w="11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10.14(7)</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Form of Restricted Stock Agreement under the Saia, Inc. 2018 Omnibus Incentive Plan for Restricted Stock Awarded in 2025 (incorporated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by reference to Exhibit 10.14(7) of Saia, Inc’s Form 10-K (File No. 0-49983) filed on February 24,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40" w:type="dxa"/>
            <w:vAlign w:val="bottom"/>
            <w:tcBorders>
              <w:right w:val="single" w:sz="8" w:color="0000EE"/>
            </w:tcBorders>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10.14(8)</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Restricted Stock Agreement under the Saia, Inc. 2018 Omnibus Incentive Plan for Restricted Stock Awarded to Frederick J. Holzgrefe, III</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in 2025 (incorporated by reference to Exhibit 10.14(8) of Saia, Inc’s Form 10-K (File No. 0-49983) filed on February 24, 2025).*</w:t>
              </w:r>
            </w:hyperlink>
          </w:p>
        </w:tc>
        <w:tc>
          <w:tcPr>
            <w:tcW w:w="8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tcPr>
          <w:p>
            <w:pPr>
              <w:spacing w:after="0"/>
              <w:rPr>
                <w:sz w:val="24"/>
                <w:szCs w:val="24"/>
                <w:color w:val="auto"/>
              </w:rPr>
            </w:pPr>
          </w:p>
        </w:tc>
        <w:tc>
          <w:tcPr>
            <w:tcW w:w="9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Form of Restricted Stock Agreement under the Saia, Inc. 2018 Omnibus Incentive Plan for Restricted Stock Awarded in 2026.*†</w:t>
            </w:r>
          </w:p>
        </w:tc>
        <w:tc>
          <w:tcPr>
            <w:tcW w:w="20" w:type="dxa"/>
            <w:vAlign w:val="bottom"/>
            <w:tcBorders>
              <w:bottom w:val="single" w:sz="8" w:color="0000EE"/>
            </w:tcBorders>
          </w:tcPr>
          <w:p>
            <w:pPr>
              <w:spacing w:after="0"/>
              <w:rPr>
                <w:sz w:val="24"/>
                <w:szCs w:val="24"/>
                <w:color w:val="auto"/>
              </w:rPr>
            </w:pPr>
          </w:p>
        </w:tc>
        <w:tc>
          <w:tcPr>
            <w:tcW w:w="8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10.14(10)</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Restricted Stock Agreement under the Saia, Inc. 2018 Omnibus Incentive Plan for Restricted Stock Awarded to Frederick J. Holzgrefe, III</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 2026.*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20" w:type="dxa"/>
            <w:vAlign w:val="bottom"/>
            <w:gridSpan w:val="4"/>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Form of Employee Nonqualified Stock Option Agreement under the Saia, Inc. 2018 Omnibus Incentive Plan for Options Awarded in 2019</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(incorporated herein by reference to Exhibit 10.25 of Saia’s Form 10-K (File No. 0-49983) filed on February 25,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140" w:type="dxa"/>
            <w:vAlign w:val="bottom"/>
            <w:tcBorders>
              <w:right w:val="single" w:sz="8" w:color="0000EE"/>
            </w:tcBorders>
            <w:gridSpan w:val="5"/>
            <w:shd w:val="clear" w:color="auto" w:fill="0000FF"/>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Form of Employee Nonqualified Stock Option Agreement under the Saia, Inc. 2018 Omnibus Incentive Plan for Options Awarded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Richard D. O’Dell in 2019 (incorporated herein by reference to Exhibit 10.25 of Saia’s Form 10-K (File No. 0-49983) filed on February 25,</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81">
              <w:r>
                <w:rPr>
                  <w:rFonts w:ascii="Times New Roman" w:cs="Times New Roman" w:eastAsia="Times New Roman" w:hAnsi="Times New Roman"/>
                  <w:sz w:val="18"/>
                  <w:szCs w:val="18"/>
                  <w:color w:val="0000FF"/>
                  <w:w w:val="97"/>
                </w:rPr>
                <w:t>2020).*</w:t>
              </w:r>
            </w:hyperlink>
          </w:p>
        </w:tc>
        <w:tc>
          <w:tcPr>
            <w:tcW w:w="20" w:type="dxa"/>
            <w:vAlign w:val="bottom"/>
            <w:tcBorders>
              <w:top w:val="single" w:sz="8" w:color="0000FF"/>
              <w:bottom w:val="single" w:sz="8" w:color="0000EE"/>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10.15(3)</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Employee Nonqualified Stock Option Agreement under the Saia, Inc. 2018 Omnibus Incentive Plan for Options Awarded to Frederick J.</w:t>
              </w:r>
            </w:hyperlink>
          </w:p>
        </w:tc>
        <w:tc>
          <w:tcPr>
            <w:tcW w:w="40" w:type="dxa"/>
            <w:vAlign w:val="bottom"/>
            <w:tcBorders>
              <w:bottom w:val="single" w:sz="8" w:color="0000EE"/>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Holzgrefe, III in 2019 (incorporated herein by reference to Exhibit 10.26 of Saia’s Form 10-K (File No. 0-49983) filed on February 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82">
              <w:r>
                <w:rPr>
                  <w:rFonts w:ascii="Times New Roman" w:cs="Times New Roman" w:eastAsia="Times New Roman" w:hAnsi="Times New Roman"/>
                  <w:sz w:val="18"/>
                  <w:szCs w:val="18"/>
                  <w:color w:val="0000FF"/>
                  <w:w w:val="97"/>
                </w:rPr>
                <w:t>2020).*</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020" w:type="dxa"/>
            <w:vAlign w:val="bottom"/>
          </w:tcPr>
          <w:p>
            <w:pPr>
              <w:spacing w:after="0"/>
              <w:rPr>
                <w:sz w:val="24"/>
                <w:szCs w:val="24"/>
                <w:color w:val="auto"/>
              </w:rPr>
            </w:pPr>
          </w:p>
        </w:tc>
        <w:tc>
          <w:tcPr>
            <w:tcW w:w="7540" w:type="dxa"/>
            <w:vAlign w:val="bottom"/>
            <w:gridSpan w:val="6"/>
          </w:tcPr>
          <w:p>
            <w:pPr>
              <w:ind w:left="452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20" w:type="dxa"/>
            <w:vAlign w:val="bottom"/>
            <w:gridSpan w:val="8"/>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52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10.15(4)</w:t>
            </w:r>
          </w:p>
        </w:tc>
        <w:tc>
          <w:tcPr>
            <w:tcW w:w="120" w:type="dxa"/>
            <w:vAlign w:val="bottom"/>
          </w:tcPr>
          <w:p>
            <w:pPr>
              <w:spacing w:after="0"/>
              <w:rPr>
                <w:sz w:val="14"/>
                <w:szCs w:val="14"/>
                <w:color w:val="auto"/>
              </w:rPr>
            </w:pPr>
          </w:p>
        </w:tc>
        <w:tc>
          <w:tcPr>
            <w:tcW w:w="1010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Form of Employee Nonqualified Stock Option Agreement under the Saia, Inc. 2018 Omnibus Incentive Plan for Options Awarded in 2020</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(incorporated herein by reference to Exhibit 10.24 of Saia’s Form 10-K (File No. 0-49983) filed on February 25,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10.15(5)</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Form of Employee Nonqualified Stock Option Agreement under the Saia, Inc. 2018 Omnibus Incentive Plan for Options Awarded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Richard D. O’Dell in 2020 (incorporated herein by reference to Exhibit 10.25 of Saia’s Form 10-K (File No. 0-49983) filed on February 25,</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81">
              <w:r>
                <w:rPr>
                  <w:rFonts w:ascii="Times New Roman" w:cs="Times New Roman" w:eastAsia="Times New Roman" w:hAnsi="Times New Roman"/>
                  <w:sz w:val="18"/>
                  <w:szCs w:val="18"/>
                  <w:color w:val="0000FF"/>
                  <w:w w:val="97"/>
                </w:rPr>
                <w:t>2020).*</w:t>
              </w:r>
            </w:hyperlink>
          </w:p>
        </w:tc>
        <w:tc>
          <w:tcPr>
            <w:tcW w:w="20" w:type="dxa"/>
            <w:vAlign w:val="bottom"/>
            <w:tcBorders>
              <w:bottom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10.15(6)</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Form of Employee Nonqualified Stock Option Agreement under the Saia, Inc. 2018 Omnibus Incentive Plan for Options Awarded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Frederick J. Holzgrefe, III in 2020 (incorporated herein by reference to Exhibit 10.26 of Saia’s Form 10-K (File No. 0-49983) filed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February 25,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Form of Employee Nonqualified Stock Option Agreement under the Saia, Inc. 2018 Omnibus Incentive Plan for Options Awarded in 2021</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(incorporated by reference to Exhibit 10.17.7 of Saia, Inc.’s Form 10-K (File No. 0-49983) filed on February 24, 2021).*</w:t>
              </w:r>
            </w:hyperlink>
          </w:p>
        </w:tc>
        <w:tc>
          <w:tcPr>
            <w:tcW w:w="20" w:type="dxa"/>
            <w:vAlign w:val="bottom"/>
            <w:tcBorders>
              <w:bottom w:val="single" w:sz="8" w:color="0000EE"/>
            </w:tcBorders>
          </w:tcPr>
          <w:p>
            <w:pPr>
              <w:spacing w:after="0"/>
              <w:rPr>
                <w:sz w:val="17"/>
                <w:szCs w:val="17"/>
                <w:color w:val="auto"/>
              </w:rPr>
            </w:pPr>
          </w:p>
        </w:tc>
        <w:tc>
          <w:tcPr>
            <w:tcW w:w="1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10.15(8)</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Form of Employee Nonqualified Stock Option Agreement under the Saia, Inc. 2018 Omnibus Incentive Plan for Options Awarded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Frederick J. Holzgrefe, III in 2021 (incorporated by reference to Exhibit 10.17.8 of Saia, Inc.’s Form 10-K (File No. 0-49983) filed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February 24,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Saia, Inc. Amended and Restated Insider Trading Policy (incorporated by reference to Exhibit 19.1 of Saia, Inc’s Form 10-K (File No. 0-</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49983) filed on February 24, 2025).</w:t>
              </w:r>
            </w:hyperlink>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5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Subsidiaries of Registrant.</w:t>
            </w:r>
          </w:p>
        </w:tc>
        <w:tc>
          <w:tcPr>
            <w:tcW w:w="7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5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20" w:type="dxa"/>
            <w:vAlign w:val="bottom"/>
            <w:tcBorders>
              <w:bottom w:val="single" w:sz="8" w:color="0000EE"/>
            </w:tcBorders>
          </w:tcPr>
          <w:p>
            <w:pPr>
              <w:spacing w:after="0"/>
              <w:rPr>
                <w:sz w:val="24"/>
                <w:szCs w:val="24"/>
                <w:color w:val="auto"/>
              </w:rPr>
            </w:pPr>
          </w:p>
        </w:tc>
        <w:tc>
          <w:tcPr>
            <w:tcW w:w="47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62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 13a-15(e).</w:t>
            </w:r>
          </w:p>
        </w:tc>
        <w:tc>
          <w:tcPr>
            <w:tcW w:w="38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 13a-15(e).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furnished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furnished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140" w:hanging="1132"/>
        <w:spacing w:after="0" w:line="282" w:lineRule="auto"/>
        <w:tabs>
          <w:tab w:leader="none" w:pos="1140" w:val="left"/>
        </w:tabs>
        <w:numPr>
          <w:ilvl w:val="0"/>
          <w:numId w:val="18"/>
        </w:numPr>
        <w:rPr>
          <w:rFonts w:ascii="Times New Roman" w:cs="Times New Roman" w:eastAsia="Times New Roman" w:hAnsi="Times New Roman"/>
          <w:sz w:val="18"/>
          <w:szCs w:val="18"/>
          <w:u w:val="single" w:color="auto"/>
          <w:color w:val="0000FF"/>
        </w:rPr>
      </w:pPr>
      <w:hyperlink r:id="rId289">
        <w:r>
          <w:rPr>
            <w:rFonts w:ascii="Times New Roman" w:cs="Times New Roman" w:eastAsia="Times New Roman" w:hAnsi="Times New Roman"/>
            <w:sz w:val="18"/>
            <w:szCs w:val="18"/>
            <w:u w:val="single" w:color="auto"/>
            <w:color w:val="0000FF"/>
          </w:rPr>
          <w:t>Saia, Inc. Clawback Policy (incorporated by reference to Exhibit 97 of Saia, Inc.’s Form 10-K (File No. 0-49983) filed on February 23,</w:t>
        </w:r>
      </w:hyperlink>
      <w:r>
        <w:rPr>
          <w:rFonts w:ascii="Times New Roman" w:cs="Times New Roman" w:eastAsia="Times New Roman" w:hAnsi="Times New Roman"/>
          <w:sz w:val="18"/>
          <w:szCs w:val="18"/>
          <w:u w:val="single" w:color="auto"/>
          <w:color w:val="0000FF"/>
        </w:rPr>
        <w:t xml:space="preserve"> </w:t>
      </w:r>
      <w:hyperlink r:id="rId289">
        <w:r>
          <w:rPr>
            <w:rFonts w:ascii="Times New Roman" w:cs="Times New Roman" w:eastAsia="Times New Roman" w:hAnsi="Times New Roman"/>
            <w:sz w:val="18"/>
            <w:szCs w:val="18"/>
            <w:u w:val="single" w:color="auto"/>
            <w:color w:val="0000FF"/>
          </w:rPr>
          <w:t>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725170</wp:posOffset>
            </wp:positionH>
            <wp:positionV relativeFrom="paragraph">
              <wp:posOffset>-185420</wp:posOffset>
            </wp:positionV>
            <wp:extent cx="6407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640715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-48260</wp:posOffset>
            </wp:positionV>
            <wp:extent cx="2952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color w:val="auto"/>
        </w:rPr>
      </w:pPr>
    </w:p>
    <w:p>
      <w:pPr>
        <w:jc w:val="both"/>
        <w:ind w:left="1140" w:hanging="1132"/>
        <w:spacing w:after="0" w:line="255"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Saia, Inc.’s Annual Report on Form 10-K for the year ended December 31, 2025, formatted in iXBRL (Inline Extensible Business Reporting Language) includes: (i) Consolidated Balance Sheets as of December 31, 2025 and 2024, (ii) Consolidated Statements of Operations for the years ended December 31, 2025, 2024 and 2023, (iii) Consolidated Statements of Stockholders’ Equity for the years ended December 31, 2025, 2024 and 2023, (iv) Consolidated Statements of Cash Flows for the years ended December 31, 2025, 2024 and 2023, and (v) the Notes to the Consolidated Financial Statements. XBRL Instance Document – the XBRL Instance Document does not appear in the Interactive Data File because its XBRL tags are embedded within the Inline XBRL document.</w:t>
      </w:r>
    </w:p>
    <w:p>
      <w:pPr>
        <w:spacing w:after="0" w:line="94" w:lineRule="exact"/>
        <w:rPr>
          <w:rFonts w:ascii="Times New Roman" w:cs="Times New Roman" w:eastAsia="Times New Roman" w:hAnsi="Times New Roman"/>
          <w:sz w:val="18"/>
          <w:szCs w:val="18"/>
          <w:color w:val="auto"/>
        </w:rPr>
      </w:pPr>
    </w:p>
    <w:p>
      <w:pPr>
        <w:ind w:left="1140" w:hanging="1132"/>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The cover page from Saia’s Annual Report on Form 10-K for the year ended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12529"/>
        </w:rPr>
        <w:t>, formatted in Inline XBRL (included as Exhibit 101).</w:t>
      </w:r>
    </w:p>
    <w:p>
      <w:pPr>
        <w:spacing w:after="0" w:line="17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1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601(a)(5) of Regulation S-K. A copy of any omitted schedule or exhibit will be furnished supplementally to the SEC upon request.</w:t>
      </w: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78" w:name="page79"/>
    <w:bookmarkEnd w:id="7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08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SAIA, INC.</w:t>
            </w: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3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Batteh</w:t>
            </w:r>
          </w:p>
        </w:tc>
      </w:tr>
      <w:tr>
        <w:trPr>
          <w:trHeight w:val="191"/>
        </w:trPr>
        <w:tc>
          <w:tcPr>
            <w:tcW w:w="4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Batteh</w:t>
            </w:r>
          </w:p>
        </w:tc>
      </w:tr>
      <w:tr>
        <w:trPr>
          <w:trHeight w:val="234"/>
        </w:trPr>
        <w:tc>
          <w:tcPr>
            <w:tcW w:w="4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center"/>
              <w:ind w:right="127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58"/>
        </w:trPr>
        <w:tc>
          <w:tcPr>
            <w:tcW w:w="11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2"/>
              </w:rPr>
              <w:t>/s/</w:t>
            </w:r>
          </w:p>
        </w:tc>
        <w:tc>
          <w:tcPr>
            <w:tcW w:w="2720" w:type="dxa"/>
            <w:vAlign w:val="bottom"/>
            <w:tcBorders>
              <w:bottom w:val="single" w:sz="8" w:color="auto"/>
            </w:tcBorders>
            <w:gridSpan w:val="2"/>
          </w:tcPr>
          <w:p>
            <w:pPr>
              <w:jc w:val="center"/>
              <w:ind w:right="651"/>
              <w:spacing w:after="0"/>
              <w:rPr>
                <w:sz w:val="20"/>
                <w:szCs w:val="20"/>
                <w:color w:val="auto"/>
              </w:rPr>
            </w:pPr>
            <w:r>
              <w:rPr>
                <w:rFonts w:ascii="Times New Roman" w:cs="Times New Roman" w:eastAsia="Times New Roman" w:hAnsi="Times New Roman"/>
                <w:sz w:val="18"/>
                <w:szCs w:val="18"/>
                <w:color w:val="auto"/>
              </w:rPr>
              <w:t>Frederick J. Holzgrefe</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 Saia, Inc. (Principal Executive</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w w:val="99"/>
              </w:rPr>
              <w:t>Frederick J. Holzgrefe</w:t>
            </w:r>
          </w:p>
        </w:tc>
        <w:tc>
          <w:tcPr>
            <w:tcW w:w="16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3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tcPr>
          <w:p>
            <w:pPr>
              <w:jc w:val="center"/>
              <w:ind w:right="911"/>
              <w:spacing w:after="0"/>
              <w:rPr>
                <w:sz w:val="20"/>
                <w:szCs w:val="20"/>
                <w:color w:val="auto"/>
              </w:rPr>
            </w:pPr>
            <w:r>
              <w:rPr>
                <w:rFonts w:ascii="Times New Roman" w:cs="Times New Roman" w:eastAsia="Times New Roman" w:hAnsi="Times New Roman"/>
                <w:sz w:val="18"/>
                <w:szCs w:val="18"/>
                <w:color w:val="auto"/>
              </w:rPr>
              <w:t>Matthew J. Batteh</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 Saia, Inc.</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rPr>
              <w:t>Matthew J. Batteh</w:t>
            </w:r>
          </w:p>
        </w:tc>
        <w:tc>
          <w:tcPr>
            <w:tcW w:w="16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tcPr>
          <w:p>
            <w:pPr>
              <w:jc w:val="center"/>
              <w:ind w:right="931"/>
              <w:spacing w:after="0"/>
              <w:rPr>
                <w:sz w:val="20"/>
                <w:szCs w:val="20"/>
                <w:color w:val="auto"/>
              </w:rPr>
            </w:pPr>
            <w:r>
              <w:rPr>
                <w:rFonts w:ascii="Times New Roman" w:cs="Times New Roman" w:eastAsia="Times New Roman" w:hAnsi="Times New Roman"/>
                <w:sz w:val="18"/>
                <w:szCs w:val="18"/>
                <w:color w:val="auto"/>
                <w:w w:val="99"/>
              </w:rPr>
              <w:t>Kelly W. Benton</w:t>
            </w:r>
          </w:p>
        </w:tc>
        <w:tc>
          <w:tcPr>
            <w:tcW w:w="160" w:type="dxa"/>
            <w:vAlign w:val="bottom"/>
          </w:tcPr>
          <w:p>
            <w:pPr>
              <w:spacing w:after="0"/>
              <w:rPr>
                <w:sz w:val="24"/>
                <w:szCs w:val="24"/>
                <w:color w:val="auto"/>
              </w:rPr>
            </w:pPr>
          </w:p>
        </w:tc>
        <w:tc>
          <w:tcPr>
            <w:tcW w:w="5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Vice President and Chief Accounting Officer, Saia,</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rPr>
              <w:t>Kelly W. Benton</w:t>
            </w:r>
          </w:p>
        </w:tc>
        <w:tc>
          <w:tcPr>
            <w:tcW w:w="16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 (Principal Accounting Officer)</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3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tcPr>
          <w:p>
            <w:pPr>
              <w:jc w:val="center"/>
              <w:ind w:right="931"/>
              <w:spacing w:after="0"/>
              <w:rPr>
                <w:sz w:val="20"/>
                <w:szCs w:val="20"/>
                <w:color w:val="auto"/>
              </w:rPr>
            </w:pPr>
            <w:r>
              <w:rPr>
                <w:rFonts w:ascii="Times New Roman" w:cs="Times New Roman" w:eastAsia="Times New Roman" w:hAnsi="Times New Roman"/>
                <w:sz w:val="18"/>
                <w:szCs w:val="18"/>
                <w:color w:val="auto"/>
              </w:rPr>
              <w:t>Richard D. O’Dell</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Saia, Inc.</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w w:val="98"/>
              </w:rPr>
              <w:t>Richard D. O’Dell</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2"/>
              </w:rPr>
              <w:t>/s/</w:t>
            </w:r>
          </w:p>
        </w:tc>
        <w:tc>
          <w:tcPr>
            <w:tcW w:w="2440" w:type="dxa"/>
            <w:vAlign w:val="bottom"/>
            <w:tcBorders>
              <w:bottom w:val="single" w:sz="8" w:color="auto"/>
            </w:tcBorders>
          </w:tcPr>
          <w:p>
            <w:pPr>
              <w:jc w:val="center"/>
              <w:ind w:right="931"/>
              <w:spacing w:after="0"/>
              <w:rPr>
                <w:sz w:val="20"/>
                <w:szCs w:val="20"/>
                <w:color w:val="auto"/>
              </w:rPr>
            </w:pPr>
            <w:r>
              <w:rPr>
                <w:rFonts w:ascii="Times New Roman" w:cs="Times New Roman" w:eastAsia="Times New Roman" w:hAnsi="Times New Roman"/>
                <w:sz w:val="18"/>
                <w:szCs w:val="18"/>
                <w:color w:val="auto"/>
                <w:w w:val="99"/>
              </w:rPr>
              <w:t>Di-Ann Eisnor</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rPr>
              <w:t>Di-Ann Eisnor</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/s/</w:t>
            </w:r>
          </w:p>
        </w:tc>
        <w:tc>
          <w:tcPr>
            <w:tcW w:w="2440" w:type="dxa"/>
            <w:vAlign w:val="bottom"/>
            <w:tcBorders>
              <w:bottom w:val="single" w:sz="8" w:color="auto"/>
            </w:tcBorders>
          </w:tcPr>
          <w:p>
            <w:pPr>
              <w:jc w:val="center"/>
              <w:ind w:right="911"/>
              <w:spacing w:after="0"/>
              <w:rPr>
                <w:sz w:val="20"/>
                <w:szCs w:val="20"/>
                <w:color w:val="auto"/>
              </w:rPr>
            </w:pPr>
            <w:r>
              <w:rPr>
                <w:rFonts w:ascii="Times New Roman" w:cs="Times New Roman" w:eastAsia="Times New Roman" w:hAnsi="Times New Roman"/>
                <w:sz w:val="18"/>
                <w:szCs w:val="18"/>
                <w:color w:val="auto"/>
                <w:w w:val="99"/>
              </w:rPr>
              <w:t>Donna E. Epps</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w w:val="99"/>
              </w:rPr>
              <w:t>Donna E. Epps</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3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tcPr>
          <w:p>
            <w:pPr>
              <w:jc w:val="center"/>
              <w:ind w:right="931"/>
              <w:spacing w:after="0"/>
              <w:rPr>
                <w:sz w:val="20"/>
                <w:szCs w:val="20"/>
                <w:color w:val="auto"/>
              </w:rPr>
            </w:pPr>
            <w:r>
              <w:rPr>
                <w:rFonts w:ascii="Times New Roman" w:cs="Times New Roman" w:eastAsia="Times New Roman" w:hAnsi="Times New Roman"/>
                <w:sz w:val="18"/>
                <w:szCs w:val="18"/>
                <w:color w:val="auto"/>
                <w:w w:val="99"/>
              </w:rPr>
              <w:t>John P. Gainor, Jr.</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1011"/>
              <w:spacing w:after="0"/>
              <w:rPr>
                <w:sz w:val="20"/>
                <w:szCs w:val="20"/>
                <w:color w:val="auto"/>
              </w:rPr>
            </w:pPr>
            <w:r>
              <w:rPr>
                <w:rFonts w:ascii="Times New Roman" w:cs="Times New Roman" w:eastAsia="Times New Roman" w:hAnsi="Times New Roman"/>
                <w:sz w:val="18"/>
                <w:szCs w:val="18"/>
                <w:color w:val="auto"/>
                <w:w w:val="99"/>
              </w:rPr>
              <w:t>John P. Gainor, Jr.</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tcPr>
          <w:p>
            <w:pPr>
              <w:jc w:val="center"/>
              <w:ind w:right="911"/>
              <w:spacing w:after="0"/>
              <w:rPr>
                <w:sz w:val="20"/>
                <w:szCs w:val="20"/>
                <w:color w:val="auto"/>
              </w:rPr>
            </w:pPr>
            <w:r>
              <w:rPr>
                <w:rFonts w:ascii="Times New Roman" w:cs="Times New Roman" w:eastAsia="Times New Roman" w:hAnsi="Times New Roman"/>
                <w:sz w:val="18"/>
                <w:szCs w:val="18"/>
                <w:color w:val="auto"/>
              </w:rPr>
              <w:t>Kevin A. Henry</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rPr>
              <w:t>Kevin A. Henry</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Donald R. James</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rPr>
              <w:t>Donald R. James</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1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2"/>
              </w:rPr>
              <w:t>/s/</w:t>
            </w:r>
          </w:p>
        </w:tc>
        <w:tc>
          <w:tcPr>
            <w:tcW w:w="2720" w:type="dxa"/>
            <w:vAlign w:val="bottom"/>
            <w:tcBorders>
              <w:bottom w:val="single" w:sz="8" w:color="auto"/>
            </w:tcBorders>
            <w:gridSpan w:val="2"/>
          </w:tcPr>
          <w:p>
            <w:pPr>
              <w:jc w:val="center"/>
              <w:ind w:right="651"/>
              <w:spacing w:after="0"/>
              <w:rPr>
                <w:sz w:val="20"/>
                <w:szCs w:val="20"/>
                <w:color w:val="auto"/>
              </w:rPr>
            </w:pPr>
            <w:r>
              <w:rPr>
                <w:rFonts w:ascii="Times New Roman" w:cs="Times New Roman" w:eastAsia="Times New Roman" w:hAnsi="Times New Roman"/>
                <w:sz w:val="18"/>
                <w:szCs w:val="18"/>
                <w:color w:val="auto"/>
              </w:rPr>
              <w:t>Randolph W. Melville</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w w:val="99"/>
              </w:rPr>
              <w:t>Randolph W. Melville</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tcPr>
          <w:p>
            <w:pPr>
              <w:jc w:val="center"/>
              <w:ind w:right="911"/>
              <w:spacing w:after="0"/>
              <w:rPr>
                <w:sz w:val="20"/>
                <w:szCs w:val="20"/>
                <w:color w:val="auto"/>
              </w:rPr>
            </w:pPr>
            <w:r>
              <w:rPr>
                <w:rFonts w:ascii="Times New Roman" w:cs="Times New Roman" w:eastAsia="Times New Roman" w:hAnsi="Times New Roman"/>
                <w:sz w:val="18"/>
                <w:szCs w:val="18"/>
                <w:color w:val="auto"/>
              </w:rPr>
              <w:t>Jeffrey C. Ward</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720" w:type="dxa"/>
            <w:vAlign w:val="bottom"/>
            <w:gridSpan w:val="2"/>
          </w:tcPr>
          <w:p>
            <w:pPr>
              <w:jc w:val="center"/>
              <w:ind w:right="991"/>
              <w:spacing w:after="0"/>
              <w:rPr>
                <w:sz w:val="20"/>
                <w:szCs w:val="20"/>
                <w:color w:val="auto"/>
              </w:rPr>
            </w:pPr>
            <w:r>
              <w:rPr>
                <w:rFonts w:ascii="Times New Roman" w:cs="Times New Roman" w:eastAsia="Times New Roman" w:hAnsi="Times New Roman"/>
                <w:sz w:val="18"/>
                <w:szCs w:val="18"/>
                <w:color w:val="auto"/>
              </w:rPr>
              <w:t>Jeffrey C. Ward</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19"/>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2"/>
              </w:rPr>
              <w:t>/s/</w:t>
            </w:r>
          </w:p>
        </w:tc>
        <w:tc>
          <w:tcPr>
            <w:tcW w:w="2440" w:type="dxa"/>
            <w:vAlign w:val="bottom"/>
            <w:tcBorders>
              <w:bottom w:val="single" w:sz="8" w:color="auto"/>
            </w:tcBorders>
          </w:tcPr>
          <w:p>
            <w:pPr>
              <w:jc w:val="center"/>
              <w:ind w:right="931"/>
              <w:spacing w:after="0"/>
              <w:rPr>
                <w:sz w:val="20"/>
                <w:szCs w:val="20"/>
                <w:color w:val="auto"/>
              </w:rPr>
            </w:pPr>
            <w:r>
              <w:rPr>
                <w:rFonts w:ascii="Times New Roman" w:cs="Times New Roman" w:eastAsia="Times New Roman" w:hAnsi="Times New Roman"/>
                <w:sz w:val="18"/>
                <w:szCs w:val="18"/>
                <w:color w:val="auto"/>
                <w:w w:val="99"/>
              </w:rPr>
              <w:t>Susan F. Ward</w:t>
            </w:r>
          </w:p>
        </w:tc>
        <w:tc>
          <w:tcPr>
            <w:tcW w:w="1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rPr>
              <w:t>Susan F. Ward</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Saia, Inc., a Delaware corporation (herein “Company” or “Saia”), has one class of securities registered under Section 12 of the Securities Exchange Act of 1934, as amended (the “Exchange Act”), its common stock, par value $0.001 per share (“Common Stock”).</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description of the Company’s Common Stock is based on Saia’s Second Amended and Restated Certificate of Incorporation (the “Articles”), amended and restated bylaws (“Bylaws”), and provisions of applicable Delaware law. The following description does not purport to be complete and is subject to, and qualified in its entirety by, the full text of Saia’s Articles and Bylaws, each of which are incorporated by reference as an exhibit to the Annual Report on Form 10-K of which this Exhibit 4.1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Company’s authorized capital stock consists of 100,000,000 shares of Common Stock and 50,000 shares of preferred stock, par value $0.001 per share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Holders of Common Stock are entitled to one vote per share on all matters voted on by the stockholders, including the election of directors. Common Stock does not have cumulative voting rights.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Subject to the rights of holders of Preferred Stock (if any), holders of Common Stock are entitled to receive dividends when, as and if declared by the Company’s Board of Directors out of funds legally available for that purpose. Delaware law allows a corporation to pay dividends only out of surplus, as determined under Delaware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In the event of any liquidation, dissolution or winding-up of the Company, subject to the rights of holders of Preferred Stock (if any), holders of Common Stock are entitled to receive the remaining assets available for distribution to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Preemptive or Similar Rights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Common Stock is not entitled to preemptive rights, conversion or other rights to subscribe for additional securities and there are no redemption or sinking fund provisions applicable to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 Paid and Non-assessable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All of the outstanding shares of Common Stock are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81" w:name="page82"/>
    <w:bookmarkEnd w:id="8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Common Stock is traded on The Nasdaq Global Select Market under the trading symbol “SAIA.”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transfer agent and registrar for Common Stock is Computershare Trust Company, N.A.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Company’s Articles provide that the Board of Directors shall be elected annually.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Advance Notice for Stockholder Proposals and Nominations</w:t>
      </w:r>
    </w:p>
    <w:p>
      <w:pPr>
        <w:spacing w:after="0" w:line="22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The Company’s Bylaws contain provisions requiring advance notice be delivered to the Company of any business to be brought by a stockholder before an annual meeting and providing for procedures to be followed by stockholders in nominating persons for election to Saia’s Board of Directors. A stockholder must give notice no later than the 90th day nor earlier than the 120th days before the one-year anniversary of the date on which Saia held its annual meeting of stockholders the previous year. The notice must contain the information required by the Bylaws, and the stockholder(s) and nominee(s) must comply with the other information requirements outlined in the Bylaws.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Ability of Stockholders to Call a Special Meeting by Act or by Written Consent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Saia’s Articles and Bylaws provide that a special meeting of the stockholders may be called only by the Board of Directors pursuant to a resolution approved by a majority of the whole Board of Directors, the Chairman of the Board of Directors, or the Chief Executive Officer of the Company. Saia’s Articles also eliminate the ability of stockholders to take action by written consent.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But Unissued Shares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Saia may issue additional shares of Common Stock or Preferred Stock without stockholder approval, subject to applicable rules of The Nasdaq Stock Market LLC and Delaware law, for a variety of corporate purposes, including future public or private offerings to raise capital, corporate acquisitions, and employee benefit plans and equity grants. The existence of unissued and unreserved Common Stock and Preferred Stock may enable the Company to issue shares to persons who are friendly to current management, which could discourage an attempt to obtain control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Supermajority Voting Requirements to Amend Saia’s Bylaws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Saia’s Bylaws include supermajority voting provisions that require the affirmative vote of two-thirds or more of the aggregate of all votes of all outstanding shares of capital stock entitled to vote generally in the election of directors to amend, alter, repeal or adopt any provision inconsistent with the provisions of Saia’s Bylaws relating to the advance notice for stockholder proposals and nominations, the right of stockholders to call a special meeting, and amendments to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b w:val="1"/>
          <w:bCs w:val="1"/>
          <w:color w:val="auto"/>
        </w:rPr>
        <w:t>Exhibit 10.12(2)</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SAIA,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OMNIBUS INCENTIVE PLAN</w:t>
      </w:r>
    </w:p>
    <w:p>
      <w:pPr>
        <w:spacing w:after="0" w:line="111"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Saia, Inc. (the “Company”) previously adopted the Saia, Inc. 2018 Omnibus Incentive Plan (the “Plan”)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assist the Company in recruiting, retaining and rewarding certain employees, directors and consultants of the Company;</w:t>
      </w:r>
    </w:p>
    <w:p>
      <w:pPr>
        <w:spacing w:after="0" w:line="69"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18 of the Plan affords the Board of Directors (the “Board”) of the Company the authority to amend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desires to amend the Plan, effective as of February 6, 2026.</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effective as of February 6, 2026, the Plan is amended as follows:</w:t>
      </w:r>
    </w:p>
    <w:p>
      <w:pPr>
        <w:spacing w:after="0" w:line="129"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“Plan” appearing in Section 2 is deleted in its entirety and replaced as follows:</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“Plan” means the Saia, Inc. 2018 Omnibus Incentive Plan, as amended, supplemented or otherwise modified from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time.</w:t>
      </w:r>
    </w:p>
    <w:p>
      <w:pPr>
        <w:spacing w:after="0" w:line="182" w:lineRule="exact"/>
        <w:rPr>
          <w:sz w:val="20"/>
          <w:szCs w:val="20"/>
          <w:color w:val="auto"/>
        </w:rPr>
      </w:pPr>
    </w:p>
    <w:p>
      <w:pPr>
        <w:ind w:left="760" w:right="2960" w:hanging="378"/>
        <w:spacing w:after="0" w:line="483" w:lineRule="auto"/>
        <w:tabs>
          <w:tab w:leader="none" w:pos="7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 is further amended by adding a definition of “Retirement” to read as follows: “Retirement” shall have the meaning set forth in the applicable Award Agreement.</w:t>
      </w:r>
    </w:p>
    <w:p>
      <w:pPr>
        <w:ind w:left="760" w:hanging="378"/>
        <w:spacing w:after="0"/>
        <w:tabs>
          <w:tab w:leader="none" w:pos="7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6(D) regarding Options is deleted in its entirety and replaced as follows:</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“D. </w:t>
      </w:r>
      <w:r>
        <w:rPr>
          <w:rFonts w:ascii="Times New Roman" w:cs="Times New Roman" w:eastAsia="Times New Roman" w:hAnsi="Times New Roman"/>
          <w:sz w:val="21"/>
          <w:szCs w:val="21"/>
          <w:u w:val="single" w:color="auto"/>
          <w:color w:val="auto"/>
        </w:rPr>
        <w:t>Minimum Vesting</w:t>
      </w:r>
      <w:r>
        <w:rPr>
          <w:rFonts w:ascii="Times New Roman" w:cs="Times New Roman" w:eastAsia="Times New Roman" w:hAnsi="Times New Roman"/>
          <w:sz w:val="21"/>
          <w:szCs w:val="21"/>
          <w:color w:val="auto"/>
        </w:rPr>
        <w:t>. Except as otherwise provided (i) under Sections 16 and 17 herein, (ii) for Substitute Awards, (iii)</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sign-on Awards, (iv) in Award Agreements in the case of death, Total Disability or Retirement of a Participant and (v) for Options with respect to Stock for up to five percent (5%) of the Reserve, each Option shall be subject to a vesting period of not less than one (1) year; however, notwithstanding such one (1) year vesting requirement, the Committee in its sole discretion may provide in an Award Agreement for the acceleration of vesting under certain circumstances, which need not be uniform for all Participants.”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4.The first paragraph of Section 8 regarding Restricted Stock Awards is deleted in its entirety and replaced as follows: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Restricted Stock Awards.</w:t>
      </w:r>
    </w:p>
    <w:p>
      <w:pPr>
        <w:spacing w:after="0" w:line="1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Committee may, in its sole discretion, grant Restricted Stock Awards that are subject to such limitations and restrictions as the Committee shall determine, including, but not limited to: the right to receive one or more shares of Stock upon the completion of a specified period of service, the occurrence of an event or the attainment of performance objectives, or restrictions on transfer or on the ability of the Participant to make elections with respect to the taxation of the Award without the consent of the Committee. Except as otherwise provided (i) under Sections 16 and 17 herein, (ii) in Award Agreements in the case of death, Total Disability or Retirement of a Participant, and (iii) for grants of Restricted Stock for up to five percent (5%) of the Reserve, each</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618197529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3" w:name="page84"/>
    <w:bookmarkEnd w:id="83"/>
    <w:p>
      <w:pPr>
        <w:jc w:val="both"/>
        <w:spacing w:after="0" w:line="247" w:lineRule="auto"/>
        <w:rPr>
          <w:sz w:val="20"/>
          <w:szCs w:val="20"/>
          <w:color w:val="auto"/>
        </w:rPr>
      </w:pPr>
      <w:r>
        <w:rPr>
          <w:rFonts w:ascii="Times New Roman" w:cs="Times New Roman" w:eastAsia="Times New Roman" w:hAnsi="Times New Roman"/>
          <w:sz w:val="21"/>
          <w:szCs w:val="21"/>
          <w:color w:val="auto"/>
        </w:rPr>
        <w:t>grant of a Restricted Stock Award shall be subject to a vesting period of not less than one (1) year from the date of grant of the Restricted Stock Award; however, notwithstanding such one (1) year vesting requirement, the Committee in its sole discretion may provide in an Award Agreement for the lapse of limitations or restrictions under certain circumstances, which need not be uniform for all Participants. Further, each grant of a Restricted Stock Award shall be subject to a vesting period not to exceed ten</w:t>
      </w:r>
    </w:p>
    <w:p>
      <w:pPr>
        <w:spacing w:after="0" w:line="2"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from the date of grant of the Restricted Stock Award.”</w:t>
      </w:r>
    </w:p>
    <w:p>
      <w:pPr>
        <w:spacing w:after="0" w:line="114" w:lineRule="exact"/>
        <w:rPr>
          <w:rFonts w:ascii="Times New Roman" w:cs="Times New Roman" w:eastAsia="Times New Roman" w:hAnsi="Times New Roman"/>
          <w:sz w:val="22"/>
          <w:szCs w:val="22"/>
          <w:color w:val="auto"/>
        </w:rPr>
      </w:pPr>
    </w:p>
    <w:p>
      <w:pPr>
        <w:ind w:left="760" w:right="2580" w:hanging="378"/>
        <w:spacing w:after="0" w:line="377" w:lineRule="auto"/>
        <w:tabs>
          <w:tab w:leader="none" w:pos="76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9 regarding Restricted Stock Units is deleted in its entirety and replaced as follows: “Section 9. </w:t>
      </w:r>
      <w:r>
        <w:rPr>
          <w:rFonts w:ascii="Times New Roman" w:cs="Times New Roman" w:eastAsia="Times New Roman" w:hAnsi="Times New Roman"/>
          <w:sz w:val="22"/>
          <w:szCs w:val="22"/>
          <w:u w:val="single" w:color="auto"/>
          <w:color w:val="auto"/>
        </w:rPr>
        <w:t>Restricted Stock Unit Awards.</w:t>
      </w:r>
    </w:p>
    <w:p>
      <w:pPr>
        <w:spacing w:after="0" w:line="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Committee may, in its sole discretion, grant Restricted Stock Unit Awards that are subject to such terms, conditions, limitations and restrictions as the Committee shall determine, including, but not limited to the specified period of service, the occurrence of an event or the performance objectives required to earn the Restricted Stock Units awarded. Restricted Stock Unit Awards shall be settled in shares of Stock, cash, or a combination of both, in accordance with the terms of the applicable Award Agreement. Except as otherwise provided (i) under Sections 16 and 17 herein, (ii) in Award Agreements in the case of death, Total Disability or Retirement of a Participant, and (iii) for grants of Restricted Stock Unit Awards for up to five percent (5%) of the Reserve, each grant of a Restricted Stock Unit Award shall be subject to a vesting period of not less than one (1) year; however, notwithstanding such one (1) year vesting requirement, the Committee in its sole discretion may provide in an Award Agreement for the lapse of limitations or restrictions under certain circumstances, which need not be uniform for all Participants. A Participant shall have no rights as a stockholder in respect of any Restricted Stock Units during the period in which the Restricted Stock Unit Award is subject to limitations or restrictions unless specifically provided in the applicable Award Agreement.</w:t>
      </w:r>
    </w:p>
    <w:p>
      <w:pPr>
        <w:spacing w:after="0" w:line="185"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22"/>
          <w:szCs w:val="22"/>
          <w:color w:val="auto"/>
        </w:rPr>
        <w:t>6.The last paragraph of Section 10 regarding Performance Stock Unit Awards is deleted in its entirety and replaced as follows:</w:t>
      </w:r>
    </w:p>
    <w:p>
      <w:pPr>
        <w:spacing w:after="0" w:line="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Performance Unit Awards shall be payable in shares of Stock in accordance with the terms of the applicable Award Agreement after the Committee has determined whether or to what extent, if any, the performance goals for the applicable Performance Period have been met, but in no event later than 2½ months after the end of such Performance Period, provided that the Participant is employed by the Company, a Parent, a Subsidiary or an Employer on the last day of such Performance Period;</w:t>
      </w:r>
    </w:p>
    <w:p>
      <w:pPr>
        <w:spacing w:after="0" w:line="2" w:lineRule="exact"/>
        <w:rPr>
          <w:sz w:val="20"/>
          <w:szCs w:val="20"/>
          <w:color w:val="auto"/>
        </w:rPr>
      </w:pPr>
    </w:p>
    <w:p>
      <w:pPr>
        <w:jc w:val="both"/>
        <w:ind w:firstLine="8"/>
        <w:spacing w:after="0" w:line="232" w:lineRule="auto"/>
        <w:tabs>
          <w:tab w:leader="none" w:pos="26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if a Participant’s employment is terminated due to death, Total Disability or, to the extent provided in an applicable Award Agreement, Retirement, such Participant shall be entitled to a pro rata portion of the Performance Unit Award to which such Participant would otherwise be entitled if the applicable performance goals are met for such Performance Period, payable in accordance with the foregoing, and (ii) further provided, if a Participant’s employment is involuntarily terminated without Cause or the Participant terminates employment due to Retirement (and clause (i) above is not applicable) after completing at least 50% of the Performance Period for a Performance Unit Award, such Participant shall be entitled to a pro rata portion of the Performance Unit Award to which such Participant would otherwise be entitled if the applicable performance goals are met for such Performance Period, payable in accordance with the foregoing. A Participant to whom a Performance Unit Award has been granted shall have none of the rights of a stockholder with respect to the shares of Stock subject to such Performance Unit Award until such time, if any, as such shares shall be issued to him or her.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618197529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Except as specifically amended hereby, the Plan shall remain in full force and effect as prior to this First Amendment. Each term that is defined in the Plan and not herein defined has the meaning ascribed thereto by the Plan. This First Amendment shall be governed by and construed in accordance with the laws of the State of Delaware without regard to conflicts of law.</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the page is intentionally left blank.]</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618197529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5" w:name="page86"/>
    <w:bookmarkEnd w:id="85"/>
    <w:p>
      <w:pPr>
        <w:ind w:left="440"/>
        <w:spacing w:after="0"/>
        <w:rPr>
          <w:sz w:val="20"/>
          <w:szCs w:val="20"/>
          <w:color w:val="auto"/>
        </w:rPr>
      </w:pPr>
      <w:r>
        <w:rPr>
          <w:rFonts w:ascii="Times New Roman" w:cs="Times New Roman" w:eastAsia="Times New Roman" w:hAnsi="Times New Roman"/>
          <w:sz w:val="21"/>
          <w:szCs w:val="21"/>
          <w:color w:val="auto"/>
        </w:rPr>
        <w:t>IN WITNESS WHEREOF, the Company has caused this amendment to be executed on this 6th day of February, 2026.</w:t>
      </w:r>
    </w:p>
    <w:p>
      <w:pPr>
        <w:spacing w:after="0" w:line="14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SAIA, INC.</w:t>
      </w: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13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Title: _______________________</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618197529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08" w:right="8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b w:val="1"/>
          <w:bCs w:val="1"/>
          <w:color w:val="auto"/>
        </w:rPr>
        <w:t>Exhibit 10.13(4)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UNIT AWARD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SAIA,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2018 OMNIBUS INCENTIVE PLAN</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THIS AWARD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 of [_____]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by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 Saia,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_____________________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WITNESSETH:</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Board of Directors of the Company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has adopted and the stockholders of the Company have approved the Company’s 2018 Omnibus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which performance unit awards may be granted to employees of the Company and its subsidiaries; and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desires to grant to Employee a performance unit award under the terms of the Plan.</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pursuant to the Plan, the Company and Employee agree as follows:</w:t>
      </w:r>
    </w:p>
    <w:p>
      <w:pPr>
        <w:spacing w:after="0" w:line="158" w:lineRule="exact"/>
        <w:rPr>
          <w:sz w:val="20"/>
          <w:szCs w:val="20"/>
          <w:color w:val="auto"/>
        </w:rPr>
      </w:pPr>
    </w:p>
    <w:p>
      <w:pPr>
        <w:ind w:firstLine="1505"/>
        <w:spacing w:after="0" w:line="258" w:lineRule="auto"/>
        <w:tabs>
          <w:tab w:leader="none" w:pos="195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Pursuant to action of the Committee (as hereinafter defined), the Company grants to Employee the performance unit award described in this Award Agreement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Performance Unit Award</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7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Subject to Plan</w:t>
      </w:r>
      <w:r>
        <w:rPr>
          <w:rFonts w:ascii="Times New Roman" w:cs="Times New Roman" w:eastAsia="Times New Roman" w:hAnsi="Times New Roman"/>
          <w:sz w:val="22"/>
          <w:szCs w:val="22"/>
          <w:color w:val="auto"/>
        </w:rPr>
        <w:t>. This Award is granted under and is expressly subject to all the terms and provisions of the Plan, which terms are incorporated herein by reference. The committee referred to in Section 5 of the Plan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has been appointed by the Board of Directors, and designated by it, as the Committee to make awards.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performance period for the Performance Unit Award is the three (3) year period commencing January 1, [20__] and ending December 31, [20__]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Unit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39" w:lineRule="auto"/>
        <w:tabs>
          <w:tab w:leader="none" w:pos="196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Employee’s Performance Unit Award opportunity for the Performance Period is the right to receive from 0% to 250% of _____ shares of the common stock, par value $0.001 per share, of the Company (the “</w:t>
      </w:r>
      <w:r>
        <w:rPr>
          <w:rFonts w:ascii="Times New Roman" w:cs="Times New Roman" w:eastAsia="Times New Roman" w:hAnsi="Times New Roman"/>
          <w:sz w:val="22"/>
          <w:szCs w:val="22"/>
          <w:u w:val="single" w:color="auto"/>
          <w:color w:val="auto"/>
        </w:rPr>
        <w:t>Target Incentive</w:t>
      </w:r>
      <w:r>
        <w:rPr>
          <w:rFonts w:ascii="Times New Roman" w:cs="Times New Roman" w:eastAsia="Times New Roman" w:hAnsi="Times New Roman"/>
          <w:sz w:val="22"/>
          <w:szCs w:val="22"/>
          <w:color w:val="auto"/>
        </w:rPr>
        <w:t>”), comprised of the TSR Target Incentive and ROIC Target Incentive (as such terms are hereafter defined).</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Target Incentive Payable to Employee</w:t>
      </w:r>
      <w:r>
        <w:rPr>
          <w:rFonts w:ascii="Times New Roman" w:cs="Times New Roman" w:eastAsia="Times New Roman" w:hAnsi="Times New Roman"/>
          <w:sz w:val="22"/>
          <w:szCs w:val="22"/>
          <w:color w:val="auto"/>
        </w:rPr>
        <w:t>. The amount of the Target Incentive payable to Employee shall be determined as follows:</w:t>
      </w:r>
    </w:p>
    <w:p>
      <w:pPr>
        <w:spacing w:after="0" w:line="158"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272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 Target Incentive</w:t>
      </w:r>
      <w:r>
        <w:rPr>
          <w:rFonts w:ascii="Times New Roman" w:cs="Times New Roman" w:eastAsia="Times New Roman" w:hAnsi="Times New Roman"/>
          <w:sz w:val="22"/>
          <w:szCs w:val="22"/>
          <w:color w:val="auto"/>
        </w:rPr>
        <w:t>. ________ (____) shares of the Target Incentive [80% of the Target Incentive](the “</w:t>
      </w:r>
      <w:r>
        <w:rPr>
          <w:rFonts w:ascii="Times New Roman" w:cs="Times New Roman" w:eastAsia="Times New Roman" w:hAnsi="Times New Roman"/>
          <w:sz w:val="22"/>
          <w:szCs w:val="22"/>
          <w:u w:val="single" w:color="auto"/>
          <w:color w:val="auto"/>
        </w:rPr>
        <w:t>TSR Target Incentive</w:t>
      </w:r>
      <w:r>
        <w:rPr>
          <w:rFonts w:ascii="Times New Roman" w:cs="Times New Roman" w:eastAsia="Times New Roman" w:hAnsi="Times New Roman"/>
          <w:sz w:val="22"/>
          <w:szCs w:val="22"/>
          <w:color w:val="auto"/>
        </w:rPr>
        <w:t>”) shall be based upon the percentile rank of the Company’s “</w:t>
      </w:r>
      <w:r>
        <w:rPr>
          <w:rFonts w:ascii="Times New Roman" w:cs="Times New Roman" w:eastAsia="Times New Roman" w:hAnsi="Times New Roman"/>
          <w:sz w:val="22"/>
          <w:szCs w:val="22"/>
          <w:u w:val="single" w:color="auto"/>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Stockholder Return</w:t>
      </w:r>
      <w:r>
        <w:rPr>
          <w:rFonts w:ascii="Times New Roman" w:cs="Times New Roman" w:eastAsia="Times New Roman" w:hAnsi="Times New Roman"/>
          <w:sz w:val="22"/>
          <w:szCs w:val="22"/>
          <w:color w:val="auto"/>
        </w:rPr>
        <w:t>”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7" w:name="page88"/>
    <w:bookmarkEnd w:id="87"/>
    <w:p>
      <w:pPr>
        <w:jc w:val="both"/>
        <w:ind w:left="1140"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below) relative to the Total Stockholder Return of the “</w:t>
      </w:r>
      <w:r>
        <w:rPr>
          <w:rFonts w:ascii="Times New Roman" w:cs="Times New Roman" w:eastAsia="Times New Roman" w:hAnsi="Times New Roman"/>
          <w:sz w:val="22"/>
          <w:szCs w:val="22"/>
          <w:u w:val="single" w:color="auto"/>
          <w:color w:val="auto"/>
        </w:rPr>
        <w:t>Peer Companies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below) over the Performance Period, as follows:</w:t>
      </w:r>
    </w:p>
    <w:p>
      <w:pPr>
        <w:spacing w:after="0" w:line="162" w:lineRule="exact"/>
        <w:rPr>
          <w:sz w:val="20"/>
          <w:szCs w:val="20"/>
          <w:color w:val="auto"/>
        </w:rPr>
      </w:pPr>
    </w:p>
    <w:tbl>
      <w:tblPr>
        <w:tblLayout w:type="fixed"/>
        <w:tblInd w:w="1270" w:type="dxa"/>
        <w:tblCellMar>
          <w:top w:w="0" w:type="dxa"/>
          <w:left w:w="0" w:type="dxa"/>
          <w:bottom w:w="0" w:type="dxa"/>
          <w:right w:w="0" w:type="dxa"/>
        </w:tblCellMar>
      </w:tblPr>
      <w:tr>
        <w:trPr>
          <w:trHeight w:val="226"/>
        </w:trPr>
        <w:tc>
          <w:tcPr>
            <w:tcW w:w="4660" w:type="dxa"/>
            <w:vAlign w:val="bottom"/>
            <w:tcBorders>
              <w:top w:val="single" w:sz="8" w:color="auto"/>
              <w:left w:val="single" w:sz="8" w:color="auto"/>
            </w:tcBorders>
          </w:tcPr>
          <w:p>
            <w:pPr>
              <w:ind w:left="100"/>
              <w:spacing w:after="0" w:line="226" w:lineRule="exact"/>
              <w:rPr>
                <w:sz w:val="20"/>
                <w:szCs w:val="20"/>
                <w:color w:val="auto"/>
              </w:rPr>
            </w:pPr>
            <w:r>
              <w:rPr>
                <w:rFonts w:ascii="Times New Roman" w:cs="Times New Roman" w:eastAsia="Times New Roman" w:hAnsi="Times New Roman"/>
                <w:sz w:val="22"/>
                <w:szCs w:val="22"/>
                <w:b w:val="1"/>
                <w:bCs w:val="1"/>
                <w:i w:val="1"/>
                <w:iCs w:val="1"/>
                <w:color w:val="auto"/>
              </w:rPr>
              <w:t>If  the  Company's  Total  Stockholder  Return</w:t>
            </w:r>
          </w:p>
        </w:tc>
        <w:tc>
          <w:tcPr>
            <w:tcW w:w="1200" w:type="dxa"/>
            <w:vAlign w:val="bottom"/>
            <w:tcBorders>
              <w:top w:val="single" w:sz="8" w:color="auto"/>
              <w:right w:val="single" w:sz="8" w:color="auto"/>
            </w:tcBorders>
          </w:tcPr>
          <w:p>
            <w:pPr>
              <w:ind w:left="220"/>
              <w:spacing w:after="0" w:line="226" w:lineRule="exact"/>
              <w:rPr>
                <w:sz w:val="20"/>
                <w:szCs w:val="20"/>
                <w:color w:val="auto"/>
              </w:rPr>
            </w:pPr>
            <w:r>
              <w:rPr>
                <w:rFonts w:ascii="Times New Roman" w:cs="Times New Roman" w:eastAsia="Times New Roman" w:hAnsi="Times New Roman"/>
                <w:sz w:val="22"/>
                <w:szCs w:val="22"/>
                <w:b w:val="1"/>
                <w:bCs w:val="1"/>
                <w:i w:val="1"/>
                <w:iCs w:val="1"/>
                <w:color w:val="auto"/>
              </w:rPr>
              <w:t>Over  the</w:t>
            </w:r>
          </w:p>
        </w:tc>
        <w:tc>
          <w:tcPr>
            <w:tcW w:w="3800" w:type="dxa"/>
            <w:vAlign w:val="bottom"/>
            <w:tcBorders>
              <w:top w:val="single" w:sz="8" w:color="auto"/>
              <w:right w:val="single" w:sz="8" w:color="auto"/>
            </w:tcBorders>
          </w:tcPr>
          <w:p>
            <w:pPr>
              <w:ind w:left="100"/>
              <w:spacing w:after="0" w:line="226" w:lineRule="exact"/>
              <w:rPr>
                <w:sz w:val="20"/>
                <w:szCs w:val="20"/>
                <w:color w:val="auto"/>
              </w:rPr>
            </w:pPr>
            <w:r>
              <w:rPr>
                <w:rFonts w:ascii="Times New Roman" w:cs="Times New Roman" w:eastAsia="Times New Roman" w:hAnsi="Times New Roman"/>
                <w:sz w:val="22"/>
                <w:szCs w:val="22"/>
                <w:b w:val="1"/>
                <w:bCs w:val="1"/>
                <w:i w:val="1"/>
                <w:iCs w:val="1"/>
                <w:color w:val="auto"/>
              </w:rPr>
              <w:t>Then the Percentage of</w:t>
            </w:r>
          </w:p>
        </w:tc>
      </w:tr>
      <w:tr>
        <w:trPr>
          <w:trHeight w:val="243"/>
        </w:trPr>
        <w:tc>
          <w:tcPr>
            <w:tcW w:w="586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Performance Period As Compared to Peer Companies</w:t>
            </w:r>
          </w:p>
        </w:tc>
        <w:tc>
          <w:tcPr>
            <w:tcW w:w="38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TSR  Target  Incentive  Payable  to</w:t>
            </w:r>
          </w:p>
        </w:tc>
      </w:tr>
      <w:tr>
        <w:trPr>
          <w:trHeight w:val="293"/>
        </w:trPr>
        <w:tc>
          <w:tcPr>
            <w:tcW w:w="4660" w:type="dxa"/>
            <w:vAlign w:val="bottom"/>
            <w:tcBorders>
              <w:left w:val="single" w:sz="8" w:color="auto"/>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Employee is</w:t>
            </w:r>
          </w:p>
        </w:tc>
      </w:tr>
      <w:tr>
        <w:trPr>
          <w:trHeight w:val="220"/>
        </w:trPr>
        <w:tc>
          <w:tcPr>
            <w:tcW w:w="4660" w:type="dxa"/>
            <w:vAlign w:val="bottom"/>
            <w:tcBorders>
              <w:left w:val="single" w:sz="8" w:color="auto"/>
              <w:bottom w:val="single" w:sz="8" w:color="auto"/>
            </w:tcBorders>
          </w:tcPr>
          <w:p>
            <w:pPr>
              <w:ind w:left="100"/>
              <w:spacing w:after="0" w:line="220" w:lineRule="exact"/>
              <w:rPr>
                <w:sz w:val="20"/>
                <w:szCs w:val="20"/>
                <w:color w:val="auto"/>
              </w:rPr>
            </w:pPr>
            <w:r>
              <w:rPr>
                <w:rFonts w:ascii="Times New Roman" w:cs="Times New Roman" w:eastAsia="Times New Roman" w:hAnsi="Times New Roman"/>
                <w:sz w:val="19"/>
                <w:szCs w:val="19"/>
                <w:color w:val="auto"/>
              </w:rPr>
              <w:t>Is at the 100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120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2"/>
                <w:szCs w:val="22"/>
                <w:color w:val="auto"/>
              </w:rPr>
              <w:t>250%</w:t>
            </w:r>
          </w:p>
        </w:tc>
      </w:tr>
      <w:tr>
        <w:trPr>
          <w:trHeight w:val="237"/>
        </w:trPr>
        <w:tc>
          <w:tcPr>
            <w:tcW w:w="4660" w:type="dxa"/>
            <w:vAlign w:val="bottom"/>
            <w:tcBorders>
              <w:left w:val="single" w:sz="8" w:color="auto"/>
              <w:bottom w:val="single" w:sz="8" w:color="auto"/>
            </w:tcBorders>
          </w:tcPr>
          <w:p>
            <w:pPr>
              <w:ind w:left="100"/>
              <w:spacing w:after="0" w:line="236" w:lineRule="exact"/>
              <w:rPr>
                <w:sz w:val="20"/>
                <w:szCs w:val="20"/>
                <w:color w:val="auto"/>
              </w:rPr>
            </w:pPr>
            <w:r>
              <w:rPr>
                <w:rFonts w:ascii="Times New Roman" w:cs="Times New Roman" w:eastAsia="Times New Roman" w:hAnsi="Times New Roman"/>
                <w:sz w:val="21"/>
                <w:szCs w:val="21"/>
                <w:color w:val="auto"/>
              </w:rPr>
              <w:t>Is at the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w:t>
            </w:r>
          </w:p>
        </w:tc>
        <w:tc>
          <w:tcPr>
            <w:tcW w:w="12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200%</w:t>
            </w:r>
          </w:p>
        </w:tc>
      </w:tr>
      <w:tr>
        <w:trPr>
          <w:trHeight w:val="236"/>
        </w:trPr>
        <w:tc>
          <w:tcPr>
            <w:tcW w:w="4660" w:type="dxa"/>
            <w:vAlign w:val="bottom"/>
            <w:tcBorders>
              <w:left w:val="single" w:sz="8" w:color="auto"/>
              <w:bottom w:val="single" w:sz="8" w:color="auto"/>
            </w:tcBorders>
          </w:tcPr>
          <w:p>
            <w:pPr>
              <w:ind w:left="100"/>
              <w:spacing w:after="0" w:line="236" w:lineRule="exact"/>
              <w:rPr>
                <w:sz w:val="20"/>
                <w:szCs w:val="20"/>
                <w:color w:val="auto"/>
              </w:rPr>
            </w:pPr>
            <w:r>
              <w:rPr>
                <w:rFonts w:ascii="Times New Roman" w:cs="Times New Roman" w:eastAsia="Times New Roman" w:hAnsi="Times New Roman"/>
                <w:sz w:val="21"/>
                <w:szCs w:val="21"/>
                <w:color w:val="auto"/>
              </w:rPr>
              <w:t>Is at the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w:t>
            </w:r>
          </w:p>
        </w:tc>
        <w:tc>
          <w:tcPr>
            <w:tcW w:w="12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100%</w:t>
            </w:r>
          </w:p>
        </w:tc>
      </w:tr>
      <w:tr>
        <w:trPr>
          <w:trHeight w:val="237"/>
        </w:trPr>
        <w:tc>
          <w:tcPr>
            <w:tcW w:w="4660" w:type="dxa"/>
            <w:vAlign w:val="bottom"/>
            <w:tcBorders>
              <w:left w:val="single" w:sz="8" w:color="auto"/>
              <w:bottom w:val="single" w:sz="8" w:color="auto"/>
            </w:tcBorders>
          </w:tcPr>
          <w:p>
            <w:pPr>
              <w:ind w:left="100"/>
              <w:spacing w:after="0" w:line="236" w:lineRule="exact"/>
              <w:rPr>
                <w:sz w:val="20"/>
                <w:szCs w:val="20"/>
                <w:color w:val="auto"/>
              </w:rPr>
            </w:pPr>
            <w:r>
              <w:rPr>
                <w:rFonts w:ascii="Times New Roman" w:cs="Times New Roman" w:eastAsia="Times New Roman" w:hAnsi="Times New Roman"/>
                <w:sz w:val="21"/>
                <w:szCs w:val="21"/>
                <w:color w:val="auto"/>
              </w:rPr>
              <w:t>Is at the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w:t>
            </w:r>
          </w:p>
        </w:tc>
        <w:tc>
          <w:tcPr>
            <w:tcW w:w="12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25%</w:t>
            </w:r>
          </w:p>
        </w:tc>
      </w:tr>
      <w:tr>
        <w:trPr>
          <w:trHeight w:val="237"/>
        </w:trPr>
        <w:tc>
          <w:tcPr>
            <w:tcW w:w="4660" w:type="dxa"/>
            <w:vAlign w:val="bottom"/>
            <w:tcBorders>
              <w:left w:val="single" w:sz="8" w:color="auto"/>
              <w:bottom w:val="single" w:sz="8" w:color="auto"/>
            </w:tcBorders>
          </w:tcPr>
          <w:p>
            <w:pPr>
              <w:ind w:left="100"/>
              <w:spacing w:after="0" w:line="236" w:lineRule="exact"/>
              <w:rPr>
                <w:sz w:val="20"/>
                <w:szCs w:val="20"/>
                <w:color w:val="auto"/>
              </w:rPr>
            </w:pPr>
            <w:r>
              <w:rPr>
                <w:rFonts w:ascii="Times New Roman" w:cs="Times New Roman" w:eastAsia="Times New Roman" w:hAnsi="Times New Roman"/>
                <w:sz w:val="21"/>
                <w:szCs w:val="21"/>
                <w:color w:val="auto"/>
              </w:rPr>
              <w:t>Is below the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w:t>
            </w:r>
          </w:p>
        </w:tc>
        <w:tc>
          <w:tcPr>
            <w:tcW w:w="12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0%</w:t>
            </w:r>
          </w:p>
        </w:tc>
      </w:tr>
    </w:tbl>
    <w:p>
      <w:pPr>
        <w:spacing w:after="0" w:line="189" w:lineRule="exact"/>
        <w:rPr>
          <w:sz w:val="20"/>
          <w:szCs w:val="20"/>
          <w:color w:val="auto"/>
        </w:rPr>
      </w:pPr>
    </w:p>
    <w:p>
      <w:pPr>
        <w:jc w:val="both"/>
        <w:ind w:left="1140" w:right="20" w:firstLine="749"/>
        <w:spacing w:after="0" w:line="244" w:lineRule="auto"/>
        <w:rPr>
          <w:sz w:val="20"/>
          <w:szCs w:val="20"/>
          <w:color w:val="auto"/>
        </w:rPr>
      </w:pPr>
      <w:r>
        <w:rPr>
          <w:rFonts w:ascii="Times New Roman" w:cs="Times New Roman" w:eastAsia="Times New Roman" w:hAnsi="Times New Roman"/>
          <w:sz w:val="22"/>
          <w:szCs w:val="22"/>
          <w:color w:val="auto"/>
        </w:rPr>
        <w:t>For purposes of the chart set forth above, the Company’s Total Stockholder Return over the Performance Period as compared to Peer Companies shall be deemed to be at the 100th percentile only if the Company’s Total Stockholder Return is higher than that of all Peer Companies over the Performance Period.</w:t>
      </w:r>
    </w:p>
    <w:p>
      <w:pPr>
        <w:spacing w:after="0" w:line="173" w:lineRule="exact"/>
        <w:rPr>
          <w:sz w:val="20"/>
          <w:szCs w:val="20"/>
          <w:color w:val="auto"/>
        </w:rPr>
      </w:pPr>
    </w:p>
    <w:p>
      <w:pPr>
        <w:jc w:val="both"/>
        <w:ind w:left="1140" w:right="20" w:firstLine="749"/>
        <w:spacing w:after="0" w:line="247" w:lineRule="auto"/>
        <w:rPr>
          <w:sz w:val="20"/>
          <w:szCs w:val="20"/>
          <w:color w:val="auto"/>
        </w:rPr>
      </w:pPr>
      <w:r>
        <w:rPr>
          <w:rFonts w:ascii="Times New Roman" w:cs="Times New Roman" w:eastAsia="Times New Roman" w:hAnsi="Times New Roman"/>
          <w:sz w:val="21"/>
          <w:szCs w:val="21"/>
          <w:color w:val="auto"/>
        </w:rPr>
        <w:t>At the end of the Performance Period, the percentile rank of the Company’s Total Stockholder Return shall be calculated by the Committee. Any Peer Company that is no longer publicly traded at the end of the Performance Period shall be excluded from this calculation. The payout of the TSR Target Incentive shall be based on the chart above with payouts interpolated for performance between the 25th and 50th percentile, the 50th and 75th percentile and the 75th and 100th percentile. Notwithstanding the foregoing, if the Company has a negative Total Stockholder Return for the Performance Period, then the percentage of TSR Target Incentive payable to Employee for the Performance Period shall in no event exceed 100% of the TSR Target Incentive. In no event will the Committee have discretion to increase the amounts payable pursuant to this Section 4(b)(i).</w:t>
      </w:r>
    </w:p>
    <w:p>
      <w:pPr>
        <w:spacing w:after="0" w:line="172" w:lineRule="exact"/>
        <w:rPr>
          <w:sz w:val="20"/>
          <w:szCs w:val="20"/>
          <w:color w:val="auto"/>
        </w:rPr>
      </w:pPr>
    </w:p>
    <w:p>
      <w:pPr>
        <w:jc w:val="both"/>
        <w:ind w:left="1140" w:right="20" w:firstLine="754"/>
        <w:spacing w:after="0" w:line="244" w:lineRule="auto"/>
        <w:tabs>
          <w:tab w:leader="none" w:pos="23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ROIC Target Incentive</w:t>
      </w:r>
      <w:r>
        <w:rPr>
          <w:rFonts w:ascii="Times New Roman" w:cs="Times New Roman" w:eastAsia="Times New Roman" w:hAnsi="Times New Roman"/>
          <w:sz w:val="22"/>
          <w:szCs w:val="22"/>
          <w:color w:val="auto"/>
        </w:rPr>
        <w:t>. ________ (____) shares of the Target Incentive [20% of the Target Incentive](the “</w:t>
      </w:r>
      <w:r>
        <w:rPr>
          <w:rFonts w:ascii="Times New Roman" w:cs="Times New Roman" w:eastAsia="Times New Roman" w:hAnsi="Times New Roman"/>
          <w:sz w:val="22"/>
          <w:szCs w:val="22"/>
          <w:u w:val="single" w:color="auto"/>
          <w:color w:val="auto"/>
        </w:rPr>
        <w:t>ROIC Target Incentive</w:t>
      </w:r>
      <w:r>
        <w:rPr>
          <w:rFonts w:ascii="Times New Roman" w:cs="Times New Roman" w:eastAsia="Times New Roman" w:hAnsi="Times New Roman"/>
          <w:sz w:val="22"/>
          <w:szCs w:val="22"/>
          <w:color w:val="auto"/>
        </w:rPr>
        <w:t xml:space="preserve">”) shall be based on the Company’s “ROIC” (as defined in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below) as follows:</w:t>
      </w:r>
    </w:p>
    <w:p>
      <w:pPr>
        <w:spacing w:after="0" w:line="178" w:lineRule="exact"/>
        <w:rPr>
          <w:sz w:val="20"/>
          <w:szCs w:val="20"/>
          <w:color w:val="auto"/>
        </w:rPr>
      </w:pPr>
    </w:p>
    <w:tbl>
      <w:tblPr>
        <w:tblLayout w:type="fixed"/>
        <w:tblInd w:w="1270" w:type="dxa"/>
        <w:tblCellMar>
          <w:top w:w="0" w:type="dxa"/>
          <w:left w:w="0" w:type="dxa"/>
          <w:bottom w:w="0" w:type="dxa"/>
          <w:right w:w="0" w:type="dxa"/>
        </w:tblCellMar>
      </w:tblPr>
      <w:tr>
        <w:trPr>
          <w:trHeight w:val="226"/>
        </w:trPr>
        <w:tc>
          <w:tcPr>
            <w:tcW w:w="4900" w:type="dxa"/>
            <w:vAlign w:val="bottom"/>
            <w:tcBorders>
              <w:top w:val="single" w:sz="8" w:color="auto"/>
              <w:left w:val="single" w:sz="8" w:color="auto"/>
              <w:right w:val="single" w:sz="8" w:color="auto"/>
            </w:tcBorders>
          </w:tcPr>
          <w:p>
            <w:pPr>
              <w:ind w:left="100"/>
              <w:spacing w:after="0" w:line="226" w:lineRule="exact"/>
              <w:rPr>
                <w:sz w:val="20"/>
                <w:szCs w:val="20"/>
                <w:color w:val="auto"/>
              </w:rPr>
            </w:pPr>
            <w:r>
              <w:rPr>
                <w:rFonts w:ascii="Times New Roman" w:cs="Times New Roman" w:eastAsia="Times New Roman" w:hAnsi="Times New Roman"/>
                <w:sz w:val="22"/>
                <w:szCs w:val="22"/>
                <w:b w:val="1"/>
                <w:bCs w:val="1"/>
                <w:i w:val="1"/>
                <w:iCs w:val="1"/>
                <w:color w:val="auto"/>
              </w:rPr>
              <w:t>If the Company's ROIC is</w:t>
            </w:r>
          </w:p>
        </w:tc>
        <w:tc>
          <w:tcPr>
            <w:tcW w:w="4760" w:type="dxa"/>
            <w:vAlign w:val="bottom"/>
            <w:tcBorders>
              <w:top w:val="single" w:sz="8" w:color="auto"/>
              <w:right w:val="single" w:sz="8" w:color="auto"/>
            </w:tcBorders>
          </w:tcPr>
          <w:p>
            <w:pPr>
              <w:ind w:left="80"/>
              <w:spacing w:after="0" w:line="226" w:lineRule="exact"/>
              <w:rPr>
                <w:sz w:val="20"/>
                <w:szCs w:val="20"/>
                <w:color w:val="auto"/>
              </w:rPr>
            </w:pPr>
            <w:r>
              <w:rPr>
                <w:rFonts w:ascii="Times New Roman" w:cs="Times New Roman" w:eastAsia="Times New Roman" w:hAnsi="Times New Roman"/>
                <w:sz w:val="22"/>
                <w:szCs w:val="22"/>
                <w:b w:val="1"/>
                <w:bCs w:val="1"/>
                <w:i w:val="1"/>
                <w:iCs w:val="1"/>
                <w:color w:val="auto"/>
              </w:rPr>
              <w:t>Then the Percentage of ROIC Target Incentive</w:t>
            </w:r>
          </w:p>
        </w:tc>
      </w:tr>
      <w:tr>
        <w:trPr>
          <w:trHeight w:val="293"/>
        </w:trPr>
        <w:tc>
          <w:tcPr>
            <w:tcW w:w="4900" w:type="dxa"/>
            <w:vAlign w:val="bottom"/>
            <w:tcBorders>
              <w:left w:val="single" w:sz="8" w:color="auto"/>
              <w:bottom w:val="single" w:sz="8" w:color="auto"/>
              <w:right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i w:val="1"/>
                <w:iCs w:val="1"/>
                <w:color w:val="auto"/>
              </w:rPr>
              <w:t>Payable to Employee is</w:t>
            </w:r>
          </w:p>
        </w:tc>
      </w:tr>
      <w:tr>
        <w:trPr>
          <w:trHeight w:val="220"/>
        </w:trPr>
        <w:tc>
          <w:tcPr>
            <w:tcW w:w="490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2"/>
                <w:szCs w:val="22"/>
                <w:color w:val="auto"/>
              </w:rPr>
              <w:t>[___]% or higher</w:t>
            </w:r>
          </w:p>
        </w:tc>
        <w:tc>
          <w:tcPr>
            <w:tcW w:w="4760" w:type="dxa"/>
            <w:vAlign w:val="bottom"/>
            <w:tcBorders>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2"/>
                <w:szCs w:val="22"/>
                <w:color w:val="auto"/>
              </w:rPr>
              <w:t>250%</w:t>
            </w:r>
          </w:p>
        </w:tc>
      </w:tr>
      <w:tr>
        <w:trPr>
          <w:trHeight w:val="237"/>
        </w:trPr>
        <w:tc>
          <w:tcPr>
            <w:tcW w:w="49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[___]%</w:t>
            </w:r>
          </w:p>
        </w:tc>
        <w:tc>
          <w:tcPr>
            <w:tcW w:w="47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100%</w:t>
            </w:r>
          </w:p>
        </w:tc>
      </w:tr>
      <w:tr>
        <w:trPr>
          <w:trHeight w:val="236"/>
        </w:trPr>
        <w:tc>
          <w:tcPr>
            <w:tcW w:w="49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[___]%</w:t>
            </w:r>
          </w:p>
        </w:tc>
        <w:tc>
          <w:tcPr>
            <w:tcW w:w="47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25%</w:t>
            </w:r>
          </w:p>
        </w:tc>
      </w:tr>
      <w:tr>
        <w:trPr>
          <w:trHeight w:val="237"/>
        </w:trPr>
        <w:tc>
          <w:tcPr>
            <w:tcW w:w="49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Below [___]%</w:t>
            </w:r>
          </w:p>
        </w:tc>
        <w:tc>
          <w:tcPr>
            <w:tcW w:w="47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0%</w:t>
            </w:r>
          </w:p>
        </w:tc>
      </w:tr>
    </w:tbl>
    <w:p>
      <w:pPr>
        <w:spacing w:after="0" w:line="189" w:lineRule="exact"/>
        <w:rPr>
          <w:sz w:val="20"/>
          <w:szCs w:val="20"/>
          <w:color w:val="auto"/>
        </w:rPr>
      </w:pPr>
    </w:p>
    <w:p>
      <w:pPr>
        <w:jc w:val="both"/>
        <w:ind w:left="1140" w:right="20"/>
        <w:spacing w:after="0" w:line="244" w:lineRule="auto"/>
        <w:rPr>
          <w:sz w:val="20"/>
          <w:szCs w:val="20"/>
          <w:color w:val="auto"/>
        </w:rPr>
      </w:pPr>
      <w:r>
        <w:rPr>
          <w:rFonts w:ascii="Times New Roman" w:cs="Times New Roman" w:eastAsia="Times New Roman" w:hAnsi="Times New Roman"/>
          <w:sz w:val="22"/>
          <w:szCs w:val="22"/>
          <w:color w:val="auto"/>
        </w:rPr>
        <w:t>At the end of the Performance Period, the Company’s ROIC shall be calculated by the Committee. The payout of the ROIC Target Incentive shall be based on the chart above with payouts interpolated for an ROIC between [___]% and [___]% and between [___]% and [____]%.</w:t>
      </w:r>
    </w:p>
    <w:p>
      <w:pPr>
        <w:spacing w:after="0" w:line="173" w:lineRule="exact"/>
        <w:rPr>
          <w:sz w:val="20"/>
          <w:szCs w:val="20"/>
          <w:color w:val="auto"/>
        </w:rPr>
      </w:pPr>
    </w:p>
    <w:p>
      <w:pPr>
        <w:jc w:val="both"/>
        <w:ind w:left="400" w:right="20" w:firstLine="745"/>
        <w:spacing w:after="0" w:line="239" w:lineRule="auto"/>
        <w:tabs>
          <w:tab w:leader="none" w:pos="160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Performance Unit Award for the Performance Period</w:t>
      </w:r>
      <w:r>
        <w:rPr>
          <w:rFonts w:ascii="Times New Roman" w:cs="Times New Roman" w:eastAsia="Times New Roman" w:hAnsi="Times New Roman"/>
          <w:sz w:val="22"/>
          <w:szCs w:val="22"/>
          <w:color w:val="auto"/>
        </w:rPr>
        <w:t xml:space="preserve">. Subject to early termination of this Award Agreement pursuant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below, as soon as practicable following the end of the Performance Period and the determination by the Committee of the Company’s Total Stockholder Return over the Performance Period as compared to the Peer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570230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80" w:top="1408" w:right="319" w:bottom="1440" w:gutter="0" w:footer="0" w:header="0"/>
        </w:sectPr>
      </w:pPr>
    </w:p>
    <w:bookmarkStart w:id="88" w:name="page89"/>
    <w:bookmarkEnd w:id="88"/>
    <w:p>
      <w:pPr>
        <w:jc w:val="both"/>
        <w:ind w:left="400"/>
        <w:spacing w:after="0" w:line="234" w:lineRule="auto"/>
        <w:rPr>
          <w:sz w:val="20"/>
          <w:szCs w:val="20"/>
          <w:color w:val="auto"/>
        </w:rPr>
      </w:pPr>
      <w:r>
        <w:rPr>
          <w:rFonts w:ascii="Times New Roman" w:cs="Times New Roman" w:eastAsia="Times New Roman" w:hAnsi="Times New Roman"/>
          <w:sz w:val="22"/>
          <w:szCs w:val="22"/>
          <w:color w:val="auto"/>
        </w:rPr>
        <w:t xml:space="preserve">Companies and the determination of the Company’s ROIC, and in any event, no later than 2 ½ months after the end of the Performance Period, the Company will deliver to Employee certificate(s) evidencing the shares of common stock of the Company representing the percentages of the TSR Target Incentive and the ROIC Target Incentive earned by Employee hereunder, if any, as determined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above. Prior to the issuance to Employee of certificate(s) for shares of common stock earned under this Agreement, if any, Employee shall have no rights as a stockholder of the Company (including without limitation, the right to payment of dividends or the right to vote) with respect to shares represented by the Performance Unit Award. Notwithstanding anything else to the contrary provided herein, the Company shall not be obligated to issue any certificate representing the shares to be delivered pursuant to this Agreement, unless and until the Company is advised by its counsel that the issuance and delivery of such certificate is in compliance with applicable laws and regulations.</w:t>
      </w:r>
    </w:p>
    <w:p>
      <w:pPr>
        <w:spacing w:after="0" w:line="179" w:lineRule="exact"/>
        <w:rPr>
          <w:sz w:val="20"/>
          <w:szCs w:val="20"/>
          <w:color w:val="auto"/>
        </w:rPr>
      </w:pPr>
    </w:p>
    <w:p>
      <w:pPr>
        <w:ind w:left="1580" w:hanging="435"/>
        <w:spacing w:after="0"/>
        <w:tabs>
          <w:tab w:leader="none" w:pos="15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Stockholder Return; ROIC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00" w:firstLine="745"/>
        <w:spacing w:after="0" w:line="251" w:lineRule="auto"/>
        <w:tabs>
          <w:tab w:leader="none" w:pos="158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Stockholder Return with respect to the Company and each Peer Company means the increase (if any) in the fair market value of common stock of the Company and such Peer Company, assuming reinvestment of dividends, over the Performance Period. The measurement of change in fair market value over the Performance Period shall be based on the average closing prices of the common stock for the last 60 trading days preceding January 1, [20__] and the last 60 trading days preceding the end of the Performance Period, assuming reinvestment of dividends in common stock.</w:t>
      </w:r>
    </w:p>
    <w:p>
      <w:pPr>
        <w:spacing w:after="0" w:line="168" w:lineRule="exact"/>
        <w:rPr>
          <w:rFonts w:ascii="Times New Roman" w:cs="Times New Roman" w:eastAsia="Times New Roman" w:hAnsi="Times New Roman"/>
          <w:sz w:val="21"/>
          <w:szCs w:val="21"/>
          <w:color w:val="auto"/>
        </w:rPr>
      </w:pPr>
    </w:p>
    <w:p>
      <w:pPr>
        <w:jc w:val="both"/>
        <w:ind w:left="400" w:firstLine="745"/>
        <w:spacing w:after="0" w:line="235" w:lineRule="auto"/>
        <w:tabs>
          <w:tab w:leader="none" w:pos="158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ROIC is calculated by dividing the Company’s operating profit by the Company's average invested capital. The Company’s “operating profit” means the Company's operating income for the last five fiscal quarters of the Performance Period, determined in accordance with generally accepted accounting principles, times one minus the effective tax rate for the last five fiscal quarters of the Performance Period. The Company’s “average invested capital” means the Company’s stockholders’ equity, plus long-term debt and short-term debt, minus cash and cash equivalents, determined in accordance with generally accepted accounting principles, averaged on a quarterly basis over the last five fiscal quarters of the Performance Period.</w:t>
      </w:r>
    </w:p>
    <w:p>
      <w:pPr>
        <w:spacing w:after="0" w:line="183" w:lineRule="exact"/>
        <w:rPr>
          <w:sz w:val="20"/>
          <w:szCs w:val="20"/>
          <w:color w:val="auto"/>
        </w:rPr>
      </w:pPr>
    </w:p>
    <w:p>
      <w:pPr>
        <w:jc w:val="both"/>
        <w:ind w:left="400" w:firstLine="749"/>
        <w:spacing w:after="0" w:line="239" w:lineRule="auto"/>
        <w:rPr>
          <w:sz w:val="20"/>
          <w:szCs w:val="20"/>
          <w:color w:val="auto"/>
        </w:rPr>
      </w:pPr>
      <w:r>
        <w:rPr>
          <w:rFonts w:ascii="Times New Roman" w:cs="Times New Roman" w:eastAsia="Times New Roman" w:hAnsi="Times New Roman"/>
          <w:sz w:val="22"/>
          <w:szCs w:val="22"/>
          <w:color w:val="auto"/>
        </w:rPr>
        <w:t>The Committee may adjust ROIC to exclude the impact of the following: (i) goodwill impairment; (ii) charges for reorganizing or restructuring; (iii) charges for asset write-downs; (iv) acquisitions or divestitures; (v) changes in accounting principles or tax laws, rules or regulations; and (vi) extraordinary, unusual, transition, one-time and/or non-recurring items, all as determined by the Committee in its discretion.</w:t>
      </w:r>
    </w:p>
    <w:p>
      <w:pPr>
        <w:spacing w:after="0" w:line="180" w:lineRule="exact"/>
        <w:rPr>
          <w:sz w:val="20"/>
          <w:szCs w:val="20"/>
          <w:color w:val="auto"/>
        </w:rPr>
      </w:pPr>
    </w:p>
    <w:p>
      <w:pPr>
        <w:jc w:val="both"/>
        <w:ind w:left="-360" w:firstLine="1505"/>
        <w:spacing w:after="0" w:line="236" w:lineRule="auto"/>
        <w:tabs>
          <w:tab w:leader="none" w:pos="156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Peer Companies</w:t>
      </w:r>
      <w:r>
        <w:rPr>
          <w:rFonts w:ascii="Times New Roman" w:cs="Times New Roman" w:eastAsia="Times New Roman" w:hAnsi="Times New Roman"/>
          <w:sz w:val="22"/>
          <w:szCs w:val="22"/>
          <w:color w:val="auto"/>
        </w:rPr>
        <w:t>. The Peer Companies are the following: Arcbest Corporation, C.H. Robinson Worldwide, Inc., CSX Corporation, Expeditors International of Washington, Inc., FedEx Corp., Forward Air Corporation, Heartland Express Inc., Hub Group, Inc., J. B. Hunt Transport Services, Inc., Kirby Corporation, Knight-Swift Transportation Holdings Inc., Landstar System, Inc., Marten Transport, Ltd., Norfolk Southern Corporation, Old Dominion Freight Line, Inc., Rush Enterprises, Inc., RXO, Inc., Ryder System, Inc., Schneider National, Inc., Union Pacific Corporation, United Parcel Service, Inc., Werner Enterprises, Inc. and XPO, Inc.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570230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408" w:right="339" w:bottom="1440" w:gutter="0" w:footer="0" w:header="0"/>
        </w:sectPr>
      </w:pPr>
    </w:p>
    <w:bookmarkStart w:id="89" w:name="page90"/>
    <w:bookmarkEnd w:id="89"/>
    <w:p>
      <w:pPr>
        <w:ind w:left="1580" w:hanging="435"/>
        <w:spacing w:after="0"/>
        <w:tabs>
          <w:tab w:leader="none" w:pos="15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00" w:firstLine="745"/>
        <w:spacing w:after="0" w:line="236" w:lineRule="auto"/>
        <w:tabs>
          <w:tab w:leader="none" w:pos="15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death of the Employee or termination of employment of Employee due to Total Disability (as defined in the Plan), Employee shall be entitled to a pro rata portion of the Performance Unit Award (based on the actual number of months of service from the commencement of the Performance Period to the date of death or termination of employment due to Total Disability, as applicable, compared to thirty-six) determined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4(b)</w:t>
      </w:r>
      <w:r>
        <w:rPr>
          <w:rFonts w:ascii="Times New Roman" w:cs="Times New Roman" w:eastAsia="Times New Roman" w:hAnsi="Times New Roman"/>
          <w:sz w:val="22"/>
          <w:szCs w:val="22"/>
          <w:color w:val="auto"/>
        </w:rPr>
        <w:t xml:space="preserve"> above, payable in accordance with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and any other portion of the Award shall thereupon automatically and without further action be cancelled and forfeited for no consideration.</w:t>
      </w:r>
    </w:p>
    <w:p>
      <w:pPr>
        <w:spacing w:after="0" w:line="181" w:lineRule="exact"/>
        <w:rPr>
          <w:rFonts w:ascii="Times New Roman" w:cs="Times New Roman" w:eastAsia="Times New Roman" w:hAnsi="Times New Roman"/>
          <w:sz w:val="22"/>
          <w:szCs w:val="22"/>
          <w:color w:val="auto"/>
        </w:rPr>
      </w:pPr>
    </w:p>
    <w:p>
      <w:pPr>
        <w:jc w:val="both"/>
        <w:ind w:left="400" w:firstLine="745"/>
        <w:spacing w:after="0" w:line="235" w:lineRule="auto"/>
        <w:tabs>
          <w:tab w:leader="none" w:pos="15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Employee is involuntarily terminated other than for Cause (as defined in the Plan) or in the event of Employee’s Retirement (as defined below), in each case after at least 50% of the Performance Period has elapsed and under circumstances not governed by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above, Employee shall be entitled to a pro rata portion of the Performance Unit Award (based on the actual number of months of service from the commencement of the Performance Period to the date of such employment termination or Retirement, as applicable, compared to thirty-six) determined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above, payable in accordance with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and any other portion of the Award shall thereupon automatically and without further action be cancelled and forfeited for no consideration.</w:t>
      </w:r>
    </w:p>
    <w:p>
      <w:pPr>
        <w:spacing w:after="0" w:line="183" w:lineRule="exact"/>
        <w:rPr>
          <w:rFonts w:ascii="Times New Roman" w:cs="Times New Roman" w:eastAsia="Times New Roman" w:hAnsi="Times New Roman"/>
          <w:sz w:val="22"/>
          <w:szCs w:val="22"/>
          <w:color w:val="auto"/>
        </w:rPr>
      </w:pPr>
    </w:p>
    <w:p>
      <w:pPr>
        <w:jc w:val="both"/>
        <w:ind w:left="400" w:firstLine="745"/>
        <w:spacing w:after="0" w:line="244" w:lineRule="auto"/>
        <w:tabs>
          <w:tab w:leader="none" w:pos="15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Sections 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7(b)</w:t>
      </w:r>
      <w:r>
        <w:rPr>
          <w:rFonts w:ascii="Times New Roman" w:cs="Times New Roman" w:eastAsia="Times New Roman" w:hAnsi="Times New Roman"/>
          <w:sz w:val="22"/>
          <w:szCs w:val="22"/>
          <w:color w:val="auto"/>
        </w:rPr>
        <w:t>, this Award Agreement will terminate and be of no further force or effect on the date that Employee is no longer employed by the Company or any of its subsidiaries and the Award shall thereupon automatically and without further action be cancelled and forfeited for no consideration.</w:t>
      </w:r>
    </w:p>
    <w:p>
      <w:pPr>
        <w:spacing w:after="0" w:line="173" w:lineRule="exact"/>
        <w:rPr>
          <w:rFonts w:ascii="Times New Roman" w:cs="Times New Roman" w:eastAsia="Times New Roman" w:hAnsi="Times New Roman"/>
          <w:sz w:val="22"/>
          <w:szCs w:val="22"/>
          <w:color w:val="auto"/>
        </w:rPr>
      </w:pPr>
    </w:p>
    <w:p>
      <w:pPr>
        <w:jc w:val="both"/>
        <w:ind w:left="400" w:firstLine="745"/>
        <w:spacing w:after="0" w:line="238" w:lineRule="auto"/>
        <w:tabs>
          <w:tab w:leader="none" w:pos="15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Employee will be entitled to receive any Performance Unit Award payable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Award Agreement if Employee’s employment terminates after the Performance Period but before Employee’s receipt of such Performance Unit Award payment for the Performance Period, except in the event of a termination for Cause in which case the Award shall thereupon automatically and without further action be cancelled and forfeited for no consideration.</w:t>
      </w:r>
    </w:p>
    <w:p>
      <w:pPr>
        <w:spacing w:after="0" w:line="176" w:lineRule="exact"/>
        <w:rPr>
          <w:rFonts w:ascii="Times New Roman" w:cs="Times New Roman" w:eastAsia="Times New Roman" w:hAnsi="Times New Roman"/>
          <w:sz w:val="22"/>
          <w:szCs w:val="22"/>
          <w:color w:val="auto"/>
        </w:rPr>
      </w:pPr>
    </w:p>
    <w:p>
      <w:pPr>
        <w:jc w:val="both"/>
        <w:ind w:left="400" w:firstLine="745"/>
        <w:spacing w:after="0" w:line="249" w:lineRule="auto"/>
        <w:tabs>
          <w:tab w:leader="none" w:pos="158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Agreement “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shall mean the voluntary termination of employment by Employee by reason of retirement at or after age 55. The determination of whether a particular termination of employment qualifies as Retirement shall be made in the sole discretion of the Committee; provided, however, that if the Employee is not an officer subject to Section 16 of the Securities Exchange Act of 1934 at the Date of Grant or at the time of determination, the determination whether a particular termination of employment is a Retirement under this subsection (e) may be made by an officer or officers of the Company designated by the Committee in its sole discretion.</w:t>
      </w:r>
    </w:p>
    <w:p>
      <w:pPr>
        <w:spacing w:after="0" w:line="171" w:lineRule="exact"/>
        <w:rPr>
          <w:sz w:val="20"/>
          <w:szCs w:val="20"/>
          <w:color w:val="auto"/>
        </w:rPr>
      </w:pPr>
    </w:p>
    <w:p>
      <w:pPr>
        <w:jc w:val="both"/>
        <w:ind w:left="-360" w:firstLine="1505"/>
        <w:spacing w:after="0" w:line="236" w:lineRule="auto"/>
        <w:tabs>
          <w:tab w:leader="none" w:pos="158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(as defined in the Plan) during the Performance Period, then upon the effectiveness of such Change in Control, this Award Agreement will terminate and be of no further force and effect and the Employee shall receive the percentage of the TSR Target Incentive based on Total Stockholder Return of the Company and each Peer Company calculated as of the date of such Change in Control, and shall receive the greater of ROIC performance (based on ROIC for the trailing five (5) quarters ending prior to the date of such Change in Control) and one hundred percent (100%) of the ROIC Target Incentive, in each case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570230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408" w:right="339" w:bottom="1440" w:gutter="0" w:footer="0" w:header="0"/>
        </w:sectPr>
      </w:pPr>
    </w:p>
    <w:bookmarkStart w:id="90" w:name="page91"/>
    <w:bookmarkEnd w:id="90"/>
    <w:p>
      <w:pPr>
        <w:jc w:val="both"/>
        <w:spacing w:after="0" w:line="239" w:lineRule="auto"/>
        <w:rPr>
          <w:sz w:val="20"/>
          <w:szCs w:val="20"/>
          <w:color w:val="auto"/>
        </w:rPr>
      </w:pPr>
      <w:r>
        <w:rPr>
          <w:rFonts w:ascii="Times New Roman" w:cs="Times New Roman" w:eastAsia="Times New Roman" w:hAnsi="Times New Roman"/>
          <w:sz w:val="22"/>
          <w:szCs w:val="22"/>
          <w:color w:val="auto"/>
        </w:rPr>
        <w:t>prorated to reflect the actual number of months of service from the commencement of the Performance Period to the date of such Change in Control. Contemporaneously with the Change in Control, the Company will deliver to Employee certificate(s) evidencing the shares of common stock of the Company representing the percentage of the TSR Target Incentive and the ROIC Target Incentive earned by Employee hereunder, if any.</w:t>
      </w:r>
    </w:p>
    <w:p>
      <w:pPr>
        <w:spacing w:after="0" w:line="180" w:lineRule="exact"/>
        <w:rPr>
          <w:sz w:val="20"/>
          <w:szCs w:val="20"/>
          <w:color w:val="auto"/>
        </w:rPr>
      </w:pPr>
    </w:p>
    <w:p>
      <w:pPr>
        <w:ind w:left="1940" w:hanging="435"/>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45" w:lineRule="auto"/>
        <w:tabs>
          <w:tab w:leader="none" w:pos="194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and agrees that (a) Employee and the Award granted hereunder are subject to the terms of the Amended and Restated Saia, Inc. Incentive Compensation Recovery Policy adopted by the Board of Directors on October 26, 2023, a copy of which was provided to Employee contemporaneously with this Agreement; (b) if Employee on the Date of Grant or at any other time is included within the classification of employees covered by the terms of the Saia, Inc. Clawback Policy, adopted by the Board of Directors on October 26, 2023, the Employee and the Award granted hereunder shall be subject to the terms of such Clawback Policy; and (c) the Employee and the Award granted hereunder are subject to any additional obligations as may be required by law, including without limitation, Section 304 of the Sarbanes-Oxley Act of 2002. Employee further acknowledges and agrees that the Board of Directors may amend or modify such Incentive Compensation Recovery Policy or Clawback Policy at any time or may adopt a new policy or policies replacing or supplementing either such policies and that any such policy or policies, as so amended, modified, replaced or supplemented, shall be binding on Employee and the Award granted hereunder.</w:t>
      </w:r>
    </w:p>
    <w:p>
      <w:pPr>
        <w:spacing w:after="0" w:line="177" w:lineRule="exact"/>
        <w:rPr>
          <w:rFonts w:ascii="Times New Roman" w:cs="Times New Roman" w:eastAsia="Times New Roman" w:hAnsi="Times New Roman"/>
          <w:sz w:val="21"/>
          <w:szCs w:val="21"/>
          <w:color w:val="auto"/>
        </w:rPr>
      </w:pPr>
    </w:p>
    <w:p>
      <w:pPr>
        <w:jc w:val="both"/>
        <w:ind w:left="760" w:firstLine="745"/>
        <w:spacing w:after="0" w:line="238"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Employee breaches the terms of any non-compete, non-solicitation or other restrictive covenant to which Employee may be subject pursuant to the terms of any agreement with the Company or any subsidiary, subject to the Company’s discretion to waive such enforcement, the Award shall be cancelled and forfeited for no consideration. The rights of the Company set forth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are in addition to any other rights or remedies available to the Company in law or equity.</w:t>
      </w:r>
    </w:p>
    <w:p>
      <w:pPr>
        <w:spacing w:after="0" w:line="177" w:lineRule="exact"/>
        <w:rPr>
          <w:sz w:val="20"/>
          <w:szCs w:val="20"/>
          <w:color w:val="auto"/>
        </w:rPr>
      </w:pPr>
    </w:p>
    <w:p>
      <w:pPr>
        <w:jc w:val="both"/>
        <w:ind w:firstLine="1505"/>
        <w:spacing w:after="0" w:line="235" w:lineRule="auto"/>
        <w:tabs>
          <w:tab w:leader="none" w:pos="192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xml:space="preserve">. Employee shall pay, or make arrangements acceptable to the Company for the payment of, any and all federal, state, and local tax withholding that in the opinion of the Company is required by law. For the avoidance of doubt, the Employee shall be entitled to satisfy any tax withholding obligations hereunder through an election to have shares of common stock of the Company withheld from any payments under this Agreement. Unless Employee satisfies any such tax withholding obligation by paying the amount in cash, by check, stock withholding, or by other arrangements acceptable to the Company, the Company shall withhold a portion of the Performance Unit Award equal to the tax withholding obligation. Any share withholding pursuant to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is intended to be exempt from Section 16(b)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pursuant to Rule 16b-3(e) under the Exchange Act.</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4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shall be deemed to create any limitation or restriction on such rights as the Company otherwise would have to terminate the service of the Employee as an employee, as applicable.</w:t>
      </w:r>
    </w:p>
    <w:p>
      <w:pPr>
        <w:spacing w:after="0" w:line="138" w:lineRule="exact"/>
        <w:rPr>
          <w:rFonts w:ascii="Times New Roman" w:cs="Times New Roman" w:eastAsia="Times New Roman" w:hAnsi="Times New Roman"/>
          <w:sz w:val="22"/>
          <w:szCs w:val="22"/>
          <w:color w:val="auto"/>
        </w:rPr>
      </w:pPr>
    </w:p>
    <w:p>
      <w:pPr>
        <w:jc w:val="both"/>
        <w:ind w:right="20" w:firstLine="1505"/>
        <w:spacing w:after="0" w:line="272" w:lineRule="exact"/>
        <w:tabs>
          <w:tab w:leader="none" w:pos="192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Employee shall not sell, transfer, assign, pledge, or otherwise encumber or dispose of the Performance Unit Award (or any rights hereunder) nor sell, transfer, assign, pledge or otherwise encumber or dispose of any of the shares of common stock</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1" w:name="page92"/>
    <w:bookmarkEnd w:id="91"/>
    <w:p>
      <w:pPr>
        <w:jc w:val="both"/>
        <w:spacing w:after="0" w:line="244" w:lineRule="auto"/>
        <w:rPr>
          <w:sz w:val="20"/>
          <w:szCs w:val="20"/>
          <w:color w:val="auto"/>
        </w:rPr>
      </w:pPr>
      <w:r>
        <w:rPr>
          <w:rFonts w:ascii="Times New Roman" w:cs="Times New Roman" w:eastAsia="Times New Roman" w:hAnsi="Times New Roman"/>
          <w:sz w:val="22"/>
          <w:szCs w:val="22"/>
          <w:color w:val="auto"/>
        </w:rPr>
        <w:t>issuable under this Agreement prior to the delivery to Employee of certificates for shares of common stock payable hereunder, except by will or the laws of descent and distribution, and any attempted sale, transfer, assignment, pledge, encumbrance or disposition except as herein authorized shall be void and of no effect.</w:t>
      </w:r>
    </w:p>
    <w:p>
      <w:pPr>
        <w:spacing w:after="0" w:line="173" w:lineRule="exact"/>
        <w:rPr>
          <w:sz w:val="20"/>
          <w:szCs w:val="20"/>
          <w:color w:val="auto"/>
        </w:rPr>
      </w:pPr>
    </w:p>
    <w:p>
      <w:pPr>
        <w:jc w:val="both"/>
        <w:ind w:firstLine="1505"/>
        <w:spacing w:after="0" w:line="244"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 Copy of Plan</w:t>
      </w:r>
      <w:r>
        <w:rPr>
          <w:rFonts w:ascii="Times New Roman" w:cs="Times New Roman" w:eastAsia="Times New Roman" w:hAnsi="Times New Roman"/>
          <w:sz w:val="22"/>
          <w:szCs w:val="22"/>
          <w:color w:val="auto"/>
        </w:rPr>
        <w:t>. To the extent not specifically defined in this Award Agreement, all capitalized terms used in this Award Agreement will have the same meanings ascribed to them in the Plan. By signing this Award Agreement, Employee acknowledges receipt of a copy of the Plan.</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9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Administration</w:t>
      </w:r>
      <w:r>
        <w:rPr>
          <w:rFonts w:ascii="Times New Roman" w:cs="Times New Roman" w:eastAsia="Times New Roman" w:hAnsi="Times New Roman"/>
          <w:sz w:val="22"/>
          <w:szCs w:val="22"/>
          <w:color w:val="auto"/>
        </w:rPr>
        <w:t>. The Committee shall have the sole responsibility for construing and interpreting this Agreement, and for resolving all questions arising hereunder. Any decision or action taken by the Committee arising out of, or in connection with, the construction, administration, interpretation or effect of this Agreement shall be conclusive and binding upon all persons. The Committee may waive or amend any provisions hereof in any manner not adversely affecting the rights granted to Employee by the express terms hereof.</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9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for Changes in Capitalization</w:t>
      </w:r>
      <w:r>
        <w:rPr>
          <w:rFonts w:ascii="Times New Roman" w:cs="Times New Roman" w:eastAsia="Times New Roman" w:hAnsi="Times New Roman"/>
          <w:sz w:val="22"/>
          <w:szCs w:val="22"/>
          <w:color w:val="auto"/>
        </w:rPr>
        <w:t>. In the event the Committee shall determine that any recapitalization, reorganization, merger, consolidation, spin-off, combination, repurchase or share exchange, stock split or stock dividend or other similar corporate transaction or event affects the shares of common stock of the Company such that an adjustment is appropriate in order to prevent dilution or enlargement of the rights of Employee, then the Committee shall make such adjustments in the number and kind of shares under this Agreement as the Committee shall deem appropriate, and all such adjustments shall be conclusive.</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5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Employee acknowledges that the Board of Directors has adopted Stock Ownership Guidelines applicable to certain officers of the Company and such Guidelines may be modified or amended in whole or in part at any time.</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Waiver of Jury Trial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34"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Delaware without regard to the principles of conflicts of law which might otherwise apply. The parties hereto irrevocably submit to the jurisdiction of the Delaware Court of Chancery (or, if such court declines to accept jurisdiction, any state or federal court sitting in or for New Castle County, Delaware) with respect to any dispute arising out of or relating to this Agreement, and each party irrevocably agrees that all claims in respect of such dispute or proceeding shall be heard and determined in such courts. The parties hereto hereby irrevocably waive, to the fullest extent permitted by law, any objection which they may now or hereafter have to the venue of any dispute arising out of or relating to this Agreement brought in such court or any defense of inconvenient forum for the maintenance of such dispute or proceeding. Each party hereto agrees that a judgment in any such dispute may be enforced in other jurisdictions by suit on the judgment or in any other manner provided by law.</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permitted by law, any right it may have to a trial by jury in respect of any litigation as between the parties directly or indirectly arising out of, under or in connection with this Agreement or the transactions contemplated hereby or disputes relating hereto. Each of the</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 xml:space="preserve">parties hereto (i) certifies that no representative, agent or attorney of the other party has represented, expressly or otherwise, that such other party would not, in the event of litigation, seek to enforce the foregoing waivers and (ii) acknowledges that it and the other parties have been induced to enter into this Agreement by, among other things, the mutual waivers and certifications contained in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505"/>
        <w:spacing w:after="0" w:line="238" w:lineRule="auto"/>
        <w:tabs>
          <w:tab w:leader="none" w:pos="195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Amendments</w:t>
      </w:r>
      <w:r>
        <w:rPr>
          <w:rFonts w:ascii="Times New Roman" w:cs="Times New Roman" w:eastAsia="Times New Roman" w:hAnsi="Times New Roman"/>
          <w:sz w:val="22"/>
          <w:szCs w:val="22"/>
          <w:color w:val="auto"/>
        </w:rPr>
        <w:t xml:space="preserve">. Except as provided in the Plan and as otherwise expressly set forth herein (including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hereof), no modification, amendment or waiver of any of the provisions of this Agreement shall be effective unless in writing specifically referring hereto, and signed by the parties hereto. This Agreement supersedes all prior agreements and understandings between Employee and the Company to the extent that any such agreements or understandings conflict with the terms of this Agreement.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5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any of which may be executed and transmitted by facsimile or electronically, and each of which shall be deemed to be an original, but all of which together shall be deemed to be one and the same instrument.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8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the limitations set forth in this Agreement and the Plan, this Agreement shall be binding upon, and inure to the benefit of, the executors, administrators, heirs, legal representatives, successors and permitted assigns of the parties hereto, including, without limitation, any business entity that succeeds to the business of the Company. This Agreement may not be assigned by Employee without the consent of the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3" w:name="page94"/>
    <w:bookmarkEnd w:id="93"/>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 WITNESS WHEREOF, the Company and Employee have executed this Award Agreement as of the Date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SAIA,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-13970</wp:posOffset>
            </wp:positionV>
            <wp:extent cx="114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color w:val="auto"/>
        </w:rPr>
        <w:t>Anthony R. Norwood,</w:t>
      </w:r>
    </w:p>
    <w:p>
      <w:pPr>
        <w:ind w:left="4780"/>
        <w:spacing w:after="0" w:line="230"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274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Kelly W. Benton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553085</wp:posOffset>
            </wp:positionV>
            <wp:extent cx="274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_______________________,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b w:val="1"/>
          <w:bCs w:val="1"/>
          <w:color w:val="auto"/>
        </w:rPr>
        <w:t>Exhibit 10.14(10)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SAIA,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2018 OMNIBUS INCENTIVE PLAN</w:t>
      </w:r>
    </w:p>
    <w:p>
      <w:pPr>
        <w:spacing w:after="0" w:line="200" w:lineRule="exact"/>
        <w:rPr>
          <w:sz w:val="20"/>
          <w:szCs w:val="20"/>
          <w:color w:val="auto"/>
        </w:rPr>
      </w:pPr>
    </w:p>
    <w:p>
      <w:pPr>
        <w:spacing w:after="0" w:line="2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THIS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made as of [_____] by and between Saia, Inc., a Delaware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(hereinafter called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Frederick J. Holzgrefe, III (hereinafter called the “</w:t>
      </w:r>
      <w:r>
        <w:rPr>
          <w:rFonts w:ascii="Times New Roman" w:cs="Times New Roman" w:eastAsia="Times New Roman" w:hAnsi="Times New Roman"/>
          <w:sz w:val="22"/>
          <w:szCs w:val="22"/>
          <w:u w:val="single" w:color="auto"/>
          <w:color w:val="auto"/>
        </w:rPr>
        <w:t>Awardee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WITNESSETH:</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Board of Directors of the Company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has adopted, and stockholders of the Company approved at the 2018 annual meeting of stockholders, the Saia, Inc. 2018 Omnibus Incentive Plan, as amended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which restricted stock of the Company may be granted to employees of the Company and its subsidiaries; and</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WHEREAS, Awardee is now an employee of the Company or a subsidiary of the Company; and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WHEREAS, the Company desires to make a restricted stock award to the Awardee for [________________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 shares of its common stock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under the terms hereinafter set forth and the terms of the Plan.</w:t>
      </w:r>
    </w:p>
    <w:p>
      <w:pPr>
        <w:spacing w:after="0" w:line="182"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including the mutual agreements hereinafter set forth, the receipt and sufficiency of which are acknowledged, it is covenanted and agreed as follows:</w:t>
      </w:r>
    </w:p>
    <w:p>
      <w:pPr>
        <w:spacing w:after="0" w:line="158" w:lineRule="exact"/>
        <w:rPr>
          <w:sz w:val="20"/>
          <w:szCs w:val="20"/>
          <w:color w:val="auto"/>
        </w:rPr>
      </w:pPr>
    </w:p>
    <w:p>
      <w:pPr>
        <w:jc w:val="both"/>
        <w:ind w:firstLine="1505"/>
        <w:spacing w:after="0" w:line="238"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Subject to Plan</w:t>
      </w:r>
      <w:r>
        <w:rPr>
          <w:rFonts w:ascii="Times New Roman" w:cs="Times New Roman" w:eastAsia="Times New Roman" w:hAnsi="Times New Roman"/>
          <w:sz w:val="22"/>
          <w:szCs w:val="22"/>
          <w:color w:val="auto"/>
        </w:rPr>
        <w:t xml:space="preserve">. This Award is made under and is expressly subject to all the terms and provisions of the Plan, a copy of which Awardee acknowledges has been received, and which terms are incorporated herein by reference. Awardee agrees to be bound by all the terms and provisions of the Plan. Terms not defined herein shall have the meaning ascribed thereto in the Plan. The Committee referred to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the Plan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has been appointed by the Board, and designated by it, as the Committee to make awards under the Plan.</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Pursuant to action of the Committee, which action was effective on [_____]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awards to the Awardee [________________ (______)] shares of the common stock of the Company, of the par value of $0.001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provided, however, that the shares hereby awarded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are nontransferable by the Awardee unless and until vested as provided in this Agreement and are subject to the risk of forfeiture described herein. Unless and until vested, at the Company’s election, the shares awarded pursuant to this Agreement will either be represented in book-entry form by the transfer agent for the Common Stock or by a certificate held by the Company or such transfer agent. Any certificate relating to such shares shall be registered in the name of the Awardee and shall bear an appropriate legend referring to the applicable terms, conditions and restrictions.</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Vesting</w:t>
      </w:r>
      <w:r>
        <w:rPr>
          <w:rFonts w:ascii="Times New Roman" w:cs="Times New Roman" w:eastAsia="Times New Roman" w:hAnsi="Times New Roman"/>
          <w:sz w:val="22"/>
          <w:szCs w:val="22"/>
          <w:color w:val="auto"/>
        </w:rPr>
        <w:t>. If the Awardee is and has been continuously in the service of the Company or a subsidiary of the Company since the Date of Award, then the Award shall vest in three annual installments outlined in the table below with the first installment vesting on the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5" w:name="page96"/>
    <w:bookmarkEnd w:id="9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anniversary of the Date of Award, the second installment vesting on the two year anniversary of the Date of Award and the third installment vesting on the three year anniversary of the Date of Award after which such shares of Restricted Stock shall become immediately free of the restrictions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78" w:lineRule="exact"/>
        <w:rPr>
          <w:sz w:val="20"/>
          <w:szCs w:val="20"/>
          <w:color w:val="auto"/>
        </w:rPr>
      </w:pPr>
    </w:p>
    <w:tbl>
      <w:tblPr>
        <w:tblLayout w:type="fixed"/>
        <w:tblInd w:w="1650" w:type="dxa"/>
        <w:tblCellMar>
          <w:top w:w="0" w:type="dxa"/>
          <w:left w:w="0" w:type="dxa"/>
          <w:bottom w:w="0" w:type="dxa"/>
          <w:right w:w="0" w:type="dxa"/>
        </w:tblCellMar>
      </w:tblPr>
      <w:tr>
        <w:trPr>
          <w:trHeight w:val="256"/>
        </w:trPr>
        <w:tc>
          <w:tcPr>
            <w:tcW w:w="2940" w:type="dxa"/>
            <w:vAlign w:val="bottom"/>
            <w:tcBorders>
              <w:top w:val="single" w:sz="8" w:color="A6A6A6"/>
              <w:left w:val="single" w:sz="8" w:color="A6A6A6"/>
              <w:bottom w:val="single" w:sz="8" w:color="A6A6A6"/>
            </w:tcBorders>
            <w:shd w:val="clear" w:color="auto" w:fill="E7E6E6"/>
          </w:tcPr>
          <w:p>
            <w:pPr>
              <w:spacing w:after="0"/>
              <w:rPr>
                <w:sz w:val="22"/>
                <w:szCs w:val="22"/>
                <w:color w:val="auto"/>
              </w:rPr>
            </w:pPr>
          </w:p>
        </w:tc>
        <w:tc>
          <w:tcPr>
            <w:tcW w:w="5040" w:type="dxa"/>
            <w:vAlign w:val="bottom"/>
            <w:tcBorders>
              <w:top w:val="single" w:sz="8" w:color="A6A6A6"/>
              <w:bottom w:val="single" w:sz="8" w:color="A6A6A6"/>
              <w:right w:val="single" w:sz="8" w:color="A6A6A6"/>
            </w:tcBorders>
            <w:gridSpan w:val="2"/>
            <w:shd w:val="clear" w:color="auto" w:fill="E7E6E6"/>
          </w:tcPr>
          <w:p>
            <w:pPr>
              <w:ind w:left="400"/>
              <w:spacing w:after="0"/>
              <w:rPr>
                <w:sz w:val="20"/>
                <w:szCs w:val="20"/>
                <w:color w:val="auto"/>
              </w:rPr>
            </w:pPr>
            <w:r>
              <w:rPr>
                <w:rFonts w:ascii="Times New Roman" w:cs="Times New Roman" w:eastAsia="Times New Roman" w:hAnsi="Times New Roman"/>
                <w:sz w:val="22"/>
                <w:szCs w:val="22"/>
                <w:b w:val="1"/>
                <w:bCs w:val="1"/>
                <w:color w:val="auto"/>
              </w:rPr>
              <w:t>Vest Schedule</w:t>
            </w:r>
          </w:p>
        </w:tc>
      </w:tr>
      <w:tr>
        <w:trPr>
          <w:trHeight w:val="240"/>
        </w:trPr>
        <w:tc>
          <w:tcPr>
            <w:tcW w:w="2940" w:type="dxa"/>
            <w:vAlign w:val="bottom"/>
            <w:tcBorders>
              <w:left w:val="single" w:sz="8" w:color="A6A6A6"/>
              <w:bottom w:val="single" w:sz="8" w:color="A6A6A6"/>
            </w:tcBorders>
            <w:shd w:val="clear" w:color="auto" w:fill="E7E6E6"/>
          </w:tcPr>
          <w:p>
            <w:pPr>
              <w:jc w:val="center"/>
              <w:ind w:left="932"/>
              <w:spacing w:after="0" w:line="240" w:lineRule="exact"/>
              <w:rPr>
                <w:sz w:val="20"/>
                <w:szCs w:val="20"/>
                <w:color w:val="auto"/>
              </w:rPr>
            </w:pPr>
            <w:r>
              <w:rPr>
                <w:rFonts w:ascii="Times New Roman" w:cs="Times New Roman" w:eastAsia="Times New Roman" w:hAnsi="Times New Roman"/>
                <w:sz w:val="22"/>
                <w:szCs w:val="22"/>
                <w:b w:val="1"/>
                <w:bCs w:val="1"/>
                <w:color w:val="auto"/>
                <w:w w:val="98"/>
              </w:rPr>
              <w:t>Vest Date</w:t>
            </w:r>
          </w:p>
        </w:tc>
        <w:tc>
          <w:tcPr>
            <w:tcW w:w="1060" w:type="dxa"/>
            <w:vAlign w:val="bottom"/>
            <w:tcBorders>
              <w:bottom w:val="single" w:sz="8" w:color="A6A6A6"/>
              <w:right w:val="single" w:sz="8" w:color="A6A6A6"/>
            </w:tcBorders>
            <w:shd w:val="clear" w:color="auto" w:fill="E7E6E6"/>
          </w:tcPr>
          <w:p>
            <w:pPr>
              <w:spacing w:after="0"/>
              <w:rPr>
                <w:sz w:val="20"/>
                <w:szCs w:val="20"/>
                <w:color w:val="auto"/>
              </w:rPr>
            </w:pPr>
          </w:p>
        </w:tc>
        <w:tc>
          <w:tcPr>
            <w:tcW w:w="3980" w:type="dxa"/>
            <w:vAlign w:val="bottom"/>
            <w:tcBorders>
              <w:bottom w:val="single" w:sz="8" w:color="A6A6A6"/>
              <w:right w:val="single" w:sz="8" w:color="A6A6A6"/>
            </w:tcBorders>
            <w:shd w:val="clear" w:color="auto" w:fill="E7E6E6"/>
          </w:tcPr>
          <w:p>
            <w:pPr>
              <w:jc w:val="center"/>
              <w:spacing w:after="0" w:line="240" w:lineRule="exact"/>
              <w:rPr>
                <w:sz w:val="20"/>
                <w:szCs w:val="20"/>
                <w:color w:val="auto"/>
              </w:rPr>
            </w:pPr>
            <w:r>
              <w:rPr>
                <w:rFonts w:ascii="Times New Roman" w:cs="Times New Roman" w:eastAsia="Times New Roman" w:hAnsi="Times New Roman"/>
                <w:sz w:val="22"/>
                <w:szCs w:val="22"/>
                <w:b w:val="1"/>
                <w:bCs w:val="1"/>
                <w:color w:val="auto"/>
                <w:w w:val="98"/>
              </w:rPr>
              <w:t>Vest Quantity</w:t>
            </w:r>
          </w:p>
        </w:tc>
      </w:tr>
      <w:tr>
        <w:trPr>
          <w:trHeight w:val="236"/>
        </w:trPr>
        <w:tc>
          <w:tcPr>
            <w:tcW w:w="2940" w:type="dxa"/>
            <w:vAlign w:val="bottom"/>
            <w:tcBorders>
              <w:left w:val="single" w:sz="8" w:color="A6A6A6"/>
              <w:bottom w:val="single" w:sz="8" w:color="A6A6A6"/>
            </w:tcBorders>
          </w:tcPr>
          <w:p>
            <w:pPr>
              <w:jc w:val="center"/>
              <w:ind w:left="932"/>
              <w:spacing w:after="0" w:line="237" w:lineRule="exact"/>
              <w:rPr>
                <w:sz w:val="20"/>
                <w:szCs w:val="20"/>
                <w:color w:val="auto"/>
              </w:rPr>
            </w:pPr>
            <w:r>
              <w:rPr>
                <w:rFonts w:ascii="Times New Roman" w:cs="Times New Roman" w:eastAsia="Times New Roman" w:hAnsi="Times New Roman"/>
                <w:sz w:val="22"/>
                <w:szCs w:val="22"/>
                <w:color w:val="auto"/>
                <w:w w:val="99"/>
              </w:rPr>
              <w:t>dd-mm-yyyy</w:t>
            </w:r>
          </w:p>
        </w:tc>
        <w:tc>
          <w:tcPr>
            <w:tcW w:w="1060" w:type="dxa"/>
            <w:vAlign w:val="bottom"/>
            <w:tcBorders>
              <w:bottom w:val="single" w:sz="8" w:color="A6A6A6"/>
              <w:right w:val="single" w:sz="8" w:color="A6A6A6"/>
            </w:tcBorders>
          </w:tcPr>
          <w:p>
            <w:pPr>
              <w:spacing w:after="0"/>
              <w:rPr>
                <w:sz w:val="20"/>
                <w:szCs w:val="20"/>
                <w:color w:val="auto"/>
              </w:rPr>
            </w:pPr>
          </w:p>
        </w:tc>
        <w:tc>
          <w:tcPr>
            <w:tcW w:w="3980" w:type="dxa"/>
            <w:vAlign w:val="bottom"/>
            <w:tcBorders>
              <w:bottom w:val="single" w:sz="8" w:color="A6A6A6"/>
              <w:right w:val="single" w:sz="8" w:color="A6A6A6"/>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xxx</w:t>
            </w:r>
          </w:p>
        </w:tc>
      </w:tr>
      <w:tr>
        <w:trPr>
          <w:trHeight w:val="237"/>
        </w:trPr>
        <w:tc>
          <w:tcPr>
            <w:tcW w:w="2940" w:type="dxa"/>
            <w:vAlign w:val="bottom"/>
            <w:tcBorders>
              <w:left w:val="single" w:sz="8" w:color="A6A6A6"/>
              <w:bottom w:val="single" w:sz="8" w:color="A6A6A6"/>
            </w:tcBorders>
          </w:tcPr>
          <w:p>
            <w:pPr>
              <w:jc w:val="center"/>
              <w:ind w:left="932"/>
              <w:spacing w:after="0" w:line="237" w:lineRule="exact"/>
              <w:rPr>
                <w:sz w:val="20"/>
                <w:szCs w:val="20"/>
                <w:color w:val="auto"/>
              </w:rPr>
            </w:pPr>
            <w:r>
              <w:rPr>
                <w:rFonts w:ascii="Times New Roman" w:cs="Times New Roman" w:eastAsia="Times New Roman" w:hAnsi="Times New Roman"/>
                <w:sz w:val="22"/>
                <w:szCs w:val="22"/>
                <w:color w:val="auto"/>
                <w:w w:val="99"/>
              </w:rPr>
              <w:t>dd-mm-yyyy</w:t>
            </w:r>
          </w:p>
        </w:tc>
        <w:tc>
          <w:tcPr>
            <w:tcW w:w="1060" w:type="dxa"/>
            <w:vAlign w:val="bottom"/>
            <w:tcBorders>
              <w:bottom w:val="single" w:sz="8" w:color="A6A6A6"/>
              <w:right w:val="single" w:sz="8" w:color="A6A6A6"/>
            </w:tcBorders>
          </w:tcPr>
          <w:p>
            <w:pPr>
              <w:spacing w:after="0"/>
              <w:rPr>
                <w:sz w:val="20"/>
                <w:szCs w:val="20"/>
                <w:color w:val="auto"/>
              </w:rPr>
            </w:pPr>
          </w:p>
        </w:tc>
        <w:tc>
          <w:tcPr>
            <w:tcW w:w="3980" w:type="dxa"/>
            <w:vAlign w:val="bottom"/>
            <w:tcBorders>
              <w:bottom w:val="single" w:sz="8" w:color="A6A6A6"/>
              <w:right w:val="single" w:sz="8" w:color="A6A6A6"/>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xxx</w:t>
            </w:r>
          </w:p>
        </w:tc>
      </w:tr>
      <w:tr>
        <w:trPr>
          <w:trHeight w:val="243"/>
        </w:trPr>
        <w:tc>
          <w:tcPr>
            <w:tcW w:w="2940" w:type="dxa"/>
            <w:vAlign w:val="bottom"/>
            <w:tcBorders>
              <w:left w:val="single" w:sz="8" w:color="A6A6A6"/>
              <w:bottom w:val="single" w:sz="8" w:color="A6A6A6"/>
            </w:tcBorders>
          </w:tcPr>
          <w:p>
            <w:pPr>
              <w:jc w:val="center"/>
              <w:ind w:left="932"/>
              <w:spacing w:after="0" w:line="237" w:lineRule="exact"/>
              <w:rPr>
                <w:sz w:val="20"/>
                <w:szCs w:val="20"/>
                <w:color w:val="auto"/>
              </w:rPr>
            </w:pPr>
            <w:r>
              <w:rPr>
                <w:rFonts w:ascii="Times New Roman" w:cs="Times New Roman" w:eastAsia="Times New Roman" w:hAnsi="Times New Roman"/>
                <w:sz w:val="22"/>
                <w:szCs w:val="22"/>
                <w:color w:val="auto"/>
                <w:w w:val="99"/>
              </w:rPr>
              <w:t>dd-mm-yyyy</w:t>
            </w:r>
          </w:p>
        </w:tc>
        <w:tc>
          <w:tcPr>
            <w:tcW w:w="1060" w:type="dxa"/>
            <w:vAlign w:val="bottom"/>
            <w:tcBorders>
              <w:bottom w:val="single" w:sz="8" w:color="A6A6A6"/>
              <w:right w:val="single" w:sz="8" w:color="A6A6A6"/>
            </w:tcBorders>
          </w:tcPr>
          <w:p>
            <w:pPr>
              <w:spacing w:after="0"/>
              <w:rPr>
                <w:sz w:val="21"/>
                <w:szCs w:val="21"/>
                <w:color w:val="auto"/>
              </w:rPr>
            </w:pPr>
          </w:p>
        </w:tc>
        <w:tc>
          <w:tcPr>
            <w:tcW w:w="398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xxx</w:t>
            </w:r>
          </w:p>
        </w:tc>
      </w:tr>
      <w:tr>
        <w:trPr>
          <w:trHeight w:val="243"/>
        </w:trPr>
        <w:tc>
          <w:tcPr>
            <w:tcW w:w="2940" w:type="dxa"/>
            <w:vAlign w:val="bottom"/>
            <w:tcBorders>
              <w:left w:val="single" w:sz="8" w:color="A6A6A6"/>
              <w:bottom w:val="single" w:sz="8" w:color="A6A6A6"/>
            </w:tcBorders>
          </w:tcPr>
          <w:p>
            <w:pPr>
              <w:spacing w:after="0"/>
              <w:rPr>
                <w:sz w:val="21"/>
                <w:szCs w:val="21"/>
                <w:color w:val="auto"/>
              </w:rPr>
            </w:pPr>
          </w:p>
        </w:tc>
        <w:tc>
          <w:tcPr>
            <w:tcW w:w="1060" w:type="dxa"/>
            <w:vAlign w:val="bottom"/>
            <w:tcBorders>
              <w:bottom w:val="single" w:sz="8" w:color="A6A6A6"/>
              <w:right w:val="single" w:sz="8" w:color="A6A6A6"/>
            </w:tcBorders>
          </w:tcPr>
          <w:p>
            <w:pPr>
              <w:spacing w:after="0"/>
              <w:rPr>
                <w:sz w:val="21"/>
                <w:szCs w:val="21"/>
                <w:color w:val="auto"/>
              </w:rPr>
            </w:pPr>
          </w:p>
        </w:tc>
        <w:tc>
          <w:tcPr>
            <w:tcW w:w="3980" w:type="dxa"/>
            <w:vAlign w:val="bottom"/>
            <w:tcBorders>
              <w:bottom w:val="single" w:sz="8" w:color="A6A6A6"/>
              <w:right w:val="single" w:sz="8" w:color="A6A6A6"/>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xxx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-346710</wp:posOffset>
            </wp:positionV>
            <wp:extent cx="34290" cy="1968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34290" cy="1968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firstLine="1505"/>
        <w:spacing w:after="0" w:line="258"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Upon a Change in Control, all shares of Restricted Stock not then vested shall become immediately vested and free of the restrictions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54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the death of the Awardee or termination of employment of Awardee due to Total Disability, any shares of Restricted Stock that remain unvested at such time shall become immediately vested and free of the restrictions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54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termination of employment of Awardee due to Retirement on or after the one year anniversary of the Date of Award, any shares of Restricted Stock that remain unvested at such time shall become immediately vested and free of the restrictions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54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Awardee’s service with the Company and subsidiaries of the Company terminates for any reason (whether voluntary or involuntary) other than as specified in </w:t>
      </w:r>
      <w:r>
        <w:rPr>
          <w:rFonts w:ascii="Times New Roman" w:cs="Times New Roman" w:eastAsia="Times New Roman" w:hAnsi="Times New Roman"/>
          <w:sz w:val="22"/>
          <w:szCs w:val="22"/>
          <w:u w:val="single" w:color="auto"/>
          <w:color w:val="auto"/>
        </w:rPr>
        <w:t>Sections 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5(b)</w:t>
      </w:r>
      <w:r>
        <w:rPr>
          <w:rFonts w:ascii="Times New Roman" w:cs="Times New Roman" w:eastAsia="Times New Roman" w:hAnsi="Times New Roman"/>
          <w:sz w:val="22"/>
          <w:szCs w:val="22"/>
          <w:color w:val="auto"/>
        </w:rPr>
        <w:t>, any shares of Restricted Stock, to the extent not vested as of the termination date, shall thereupon automatically and without further action be cancelled and forfeited for no consideration.</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54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voluntary termination of employment by Awardee by reason of retirement at or after age 55. The determination of whether a particular termination of employment qualifies as Retirement shall be made in the sole discretion of the Committee.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Any cash or in-kind dividends paid with respect to the unvested shares of Restricted Stock shall be withheld by the Company and shall be paid to Awardee, without interest, only when, and if, such shares of Restricted Stock shall become fully vested, and in no event later than 2 ½ months after the close of the year in which such Restricted Stock vests.</w:t>
      </w:r>
    </w:p>
    <w:p>
      <w:pPr>
        <w:spacing w:after="0" w:line="180"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Prior to the vesting of the shares of Restricted Stock, the Awardee shall have no right to vote the shares and, except as expressly provided otherwise herein, no other rights as a holder of outstanding shares of Common Stock with respect to the Restricted Stock.</w:t>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6" w:name="page97"/>
    <w:bookmarkEnd w:id="96"/>
    <w:p>
      <w:pPr>
        <w:jc w:val="both"/>
        <w:ind w:left="-300" w:firstLine="1505"/>
        <w:spacing w:after="0" w:line="233" w:lineRule="auto"/>
        <w:tabs>
          <w:tab w:leader="none" w:pos="17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and Taxes</w:t>
      </w:r>
      <w:r>
        <w:rPr>
          <w:rFonts w:ascii="Times New Roman" w:cs="Times New Roman" w:eastAsia="Times New Roman" w:hAnsi="Times New Roman"/>
          <w:sz w:val="22"/>
          <w:szCs w:val="22"/>
          <w:color w:val="auto"/>
        </w:rPr>
        <w:t xml:space="preserve">. As soon as practicable following the vesting of any shares of Restricted Stock, the Company shall deliver to Awardee shares of Common Stock then vested. Awardee shall pay, or make arrangements acceptable to the Company for the payment of, any and all federal, state, and local tax withholding that in the opinion of the Company is required by law. For the avoidance of doubt, the Awardee shall be entitled to satisfy any tax withholding obligations hereunder through an election to have shares of Common Stock of the Company withheld from any payments under this Agreement. Unless Awardee satisfies any such tax withholding obligation by paying the amount in cash, by check, stock withholding, or by other arrangements acceptable to the Company, the Company shall withhold a portion of the stock payable upon vesting equal to the tax withholding obligation. Any share withholding pursuant to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is intended to be exempt from Section 16(b)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pursuant to Rule 16b-3(e) under the Exchange Act. As a condition to the effectiveness of this Restricted Stock Award, Awardee shall not make any election to Section 83(b) of the Internal Revenue Code of 1986, as amended, to realize taxable income with respect to the Award as of the Date of Award without consent of the Committee.</w:t>
      </w:r>
    </w:p>
    <w:p>
      <w:pPr>
        <w:spacing w:after="0" w:line="184" w:lineRule="exact"/>
        <w:rPr>
          <w:rFonts w:ascii="Times New Roman" w:cs="Times New Roman" w:eastAsia="Times New Roman" w:hAnsi="Times New Roman"/>
          <w:sz w:val="22"/>
          <w:szCs w:val="22"/>
          <w:color w:val="auto"/>
        </w:rPr>
      </w:pPr>
    </w:p>
    <w:p>
      <w:pPr>
        <w:jc w:val="both"/>
        <w:ind w:left="-300" w:firstLine="1505"/>
        <w:spacing w:after="0" w:line="236" w:lineRule="auto"/>
        <w:tabs>
          <w:tab w:leader="none" w:pos="17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Administration</w:t>
      </w:r>
      <w:r>
        <w:rPr>
          <w:rFonts w:ascii="Times New Roman" w:cs="Times New Roman" w:eastAsia="Times New Roman" w:hAnsi="Times New Roman"/>
          <w:sz w:val="22"/>
          <w:szCs w:val="22"/>
          <w:color w:val="auto"/>
        </w:rPr>
        <w:t>. As it relates to the Award granted hereunder, the Committee shall have the sole responsibility for construing and interpreting this Agreement, and for resolving all questions arising hereunder. Any decision or action taken by the Committee arising out of, or in connection with, the construction, administration, interpretation or effect of this Agreement with respect to the Award shall be conclusive and binding upon all persons. The Committee may waive or amend any provisions hereof in any manner not adversely affecting the rights granted to or obligations of the Awardee by the express terms hereof.</w:t>
      </w:r>
    </w:p>
    <w:p>
      <w:pPr>
        <w:spacing w:after="0" w:line="181" w:lineRule="exact"/>
        <w:rPr>
          <w:rFonts w:ascii="Times New Roman" w:cs="Times New Roman" w:eastAsia="Times New Roman" w:hAnsi="Times New Roman"/>
          <w:sz w:val="22"/>
          <w:szCs w:val="22"/>
          <w:color w:val="auto"/>
        </w:rPr>
      </w:pPr>
    </w:p>
    <w:p>
      <w:pPr>
        <w:jc w:val="both"/>
        <w:ind w:left="-300" w:firstLine="1505"/>
        <w:spacing w:after="0" w:line="244" w:lineRule="auto"/>
        <w:tabs>
          <w:tab w:leader="none" w:pos="17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shall be deemed to create any limitation or restriction on such rights as the Company otherwise would have to terminate the service of the Awardee as an employee, as applicable.</w:t>
      </w:r>
    </w:p>
    <w:p>
      <w:pPr>
        <w:spacing w:after="0" w:line="138" w:lineRule="exact"/>
        <w:rPr>
          <w:rFonts w:ascii="Times New Roman" w:cs="Times New Roman" w:eastAsia="Times New Roman" w:hAnsi="Times New Roman"/>
          <w:sz w:val="22"/>
          <w:szCs w:val="22"/>
          <w:color w:val="auto"/>
        </w:rPr>
      </w:pPr>
    </w:p>
    <w:p>
      <w:pPr>
        <w:jc w:val="both"/>
        <w:ind w:left="-300" w:firstLine="1505"/>
        <w:spacing w:after="0" w:line="265" w:lineRule="exact"/>
        <w:tabs>
          <w:tab w:leader="none" w:pos="17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Neither the Award hereby granted nor any rights thereunder or under this Agreement may be assigned, transferred, mortgaged, pledged or in any manner encumbered by Awardee except by will or the laws of descent and distribution, and any attempted assignment, transfer, mortgage, pledge or encumbrance except as herein authorized, shall be void and of no effect.</w:t>
      </w:r>
    </w:p>
    <w:p>
      <w:pPr>
        <w:spacing w:after="0" w:line="177" w:lineRule="exact"/>
        <w:rPr>
          <w:rFonts w:ascii="Times New Roman" w:cs="Times New Roman" w:eastAsia="Times New Roman" w:hAnsi="Times New Roman"/>
          <w:sz w:val="22"/>
          <w:szCs w:val="22"/>
          <w:color w:val="auto"/>
        </w:rPr>
      </w:pPr>
    </w:p>
    <w:p>
      <w:pPr>
        <w:jc w:val="both"/>
        <w:ind w:left="-300" w:firstLine="1505"/>
        <w:spacing w:after="0" w:line="234" w:lineRule="auto"/>
        <w:tabs>
          <w:tab w:leader="none" w:pos="17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such provision to any party or circumstances shall be determined by any court of competent jurisdiction to be invalid or unenforceable to any extent, the remainder of this Agreement, or the application of such provision to such person or circumstances other than those to which it is so determined to be invalid or unenforceable, shall not be affected thereby, and each provision hereof shall be enforced to the fullest extent permitted by law. If the final judgment of a court of competent jurisdiction declares that any provision of this Agreement is invalid or unenforceable, the parties hereto agree that the court making the determination of invalidity or unenforceability shall have the power, and is hereby directed, to modify or reduce the scope, duration or area of the provision, to delete specific words or phrases and to replace any invalid or unenforceable provision with a provision that is valid and enforceable and that comes closest to expressing the intention of the invalid or unenforceable provision, and this Agreement shall be enforced as so modified.</w:t>
      </w:r>
    </w:p>
    <w:p>
      <w:pPr>
        <w:spacing w:after="0" w:line="179" w:lineRule="exact"/>
        <w:rPr>
          <w:rFonts w:ascii="Times New Roman" w:cs="Times New Roman" w:eastAsia="Times New Roman" w:hAnsi="Times New Roman"/>
          <w:sz w:val="22"/>
          <w:szCs w:val="22"/>
          <w:color w:val="auto"/>
        </w:rPr>
      </w:pPr>
    </w:p>
    <w:p>
      <w:pPr>
        <w:ind w:left="-300" w:firstLine="1505"/>
        <w:spacing w:after="0" w:line="258" w:lineRule="auto"/>
        <w:tabs>
          <w:tab w:leader="none" w:pos="17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of Rights</w:t>
      </w:r>
      <w:r>
        <w:rPr>
          <w:rFonts w:ascii="Times New Roman" w:cs="Times New Roman" w:eastAsia="Times New Roman" w:hAnsi="Times New Roman"/>
          <w:sz w:val="22"/>
          <w:szCs w:val="22"/>
          <w:color w:val="auto"/>
        </w:rPr>
        <w:t>. The Company’s failure to enforce at any time any of the provisions of this Agreement or to require at any time performance by Awardee of any of the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97" w:name="page98"/>
    <w:bookmarkEnd w:id="97"/>
    <w:p>
      <w:pPr>
        <w:jc w:val="both"/>
        <w:spacing w:after="0" w:line="244" w:lineRule="auto"/>
        <w:rPr>
          <w:sz w:val="20"/>
          <w:szCs w:val="20"/>
          <w:color w:val="auto"/>
        </w:rPr>
      </w:pPr>
      <w:r>
        <w:rPr>
          <w:rFonts w:ascii="Times New Roman" w:cs="Times New Roman" w:eastAsia="Times New Roman" w:hAnsi="Times New Roman"/>
          <w:sz w:val="22"/>
          <w:szCs w:val="22"/>
          <w:color w:val="auto"/>
        </w:rPr>
        <w:t>provisions hereof shall in no way be construed to be a waiver of such provisions or to affect either the validity of this Agreement, or any part hereof, or the right of the Company thereafter to enforce each and every provision in accordance with the terms of this Agreement.</w:t>
      </w:r>
    </w:p>
    <w:p>
      <w:pPr>
        <w:spacing w:after="0" w:line="173" w:lineRule="exact"/>
        <w:rPr>
          <w:sz w:val="20"/>
          <w:szCs w:val="20"/>
          <w:color w:val="auto"/>
        </w:rPr>
      </w:pPr>
    </w:p>
    <w:p>
      <w:pPr>
        <w:jc w:val="both"/>
        <w:ind w:firstLine="1505"/>
        <w:spacing w:after="0" w:line="235"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Entire Agreement</w:t>
      </w:r>
      <w:r>
        <w:rPr>
          <w:rFonts w:ascii="Times New Roman" w:cs="Times New Roman" w:eastAsia="Times New Roman" w:hAnsi="Times New Roman"/>
          <w:sz w:val="22"/>
          <w:szCs w:val="22"/>
          <w:color w:val="auto"/>
        </w:rPr>
        <w:t xml:space="preserve">. Except as provided in the Plan and as otherwise expressly set forth herein (including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 no modification, amendment or waiver of any of the provisions of this Agreement shall be effective unless in writing specifically referring hereto, and signed by the parties hereto. This Agreement supersedes all prior agreements and understandings between Awardee and the Company to the extent that any such agreements or understandings conflict with the terms of this Agreement; provided, however, in the event of an inconsistency between the terms of this Agreement and the terms of that certain Employment Agreement entered into March 5, 2020, as amended from time to time, between the Company and Awardee, the terms of the Employment Agreement shall govern.</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the limitations set forth in this Agreement and the Plan, this Agreement shall be binding upon, and inure to the benefit of, the executors, administrators, heirs, legal representatives, successors and permitted assigns of the parties hereto, including, without limitation, any business entity that succeeds to the business of the Company. This Agreement may not be assigned by Awardee without the consent of the Committee.</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Awardee acknowledges that the Board has adopted Stock Ownership Guidelines applicable to certain officers of the Company and such Guidelines may be modified or amended in whole or in part at any time.</w:t>
      </w:r>
    </w:p>
    <w:p>
      <w:pPr>
        <w:spacing w:after="0" w:line="1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Awardee acknowledges and agrees that (a) Awardee and the Award granted hereunder are subject to the terms of the Amended and Restated Saia, Inc. Incentive Compensation Recovery Policy (the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Recovery Policy</w:t>
      </w:r>
      <w:r>
        <w:rPr>
          <w:rFonts w:ascii="Times New Roman" w:cs="Times New Roman" w:eastAsia="Times New Roman" w:hAnsi="Times New Roman"/>
          <w:sz w:val="21"/>
          <w:szCs w:val="21"/>
          <w:color w:val="auto"/>
        </w:rPr>
        <w:t>”) adopted by the Board on October 26, 2023, (b) if Awardee on the Date of Award or at any other time is included within the classification of employees covered by the terms of the Saia, Inc. Clawback Policy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adopted by the Board on October 26, 2023, the Awardee and the Award granted hereunder shall be subject to the terms of such Clawback Policy, and (c) the Awardee and the Award granted hereunder are subject to any additional obligations as may be required by law, including without limitation, Section 304 of the Sarbanes-Oxley Act of 2002. Awardee further acknowledges and agrees that the Board may amend or modify such Incentive Compensation Recovery Policy or Clawback Policy at any time or may adopt a new policy or policies replacing or supplementing either such policies and that any such policy or policies, as so amended, modified, replaced or supplemented, shall be binding on Awardee and the Award granted hereunder.</w:t>
      </w:r>
    </w:p>
    <w:p>
      <w:pPr>
        <w:spacing w:after="0" w:line="170"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Waiver of Jury Trial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firstLine="745"/>
        <w:spacing w:after="0" w:line="258" w:lineRule="auto"/>
        <w:tabs>
          <w:tab w:leader="none" w:pos="20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Delaware without regard to the principles of conflicts of law which might otherwise apply.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permitted by law, any right it may have to a trial by jury in respect of any litigation as between the parties directly or indirectly arising out of, under or in connection with this Agreement or the transactions contemplated hereby or disputes relating hereto. Each of the parties hereto (i) certifies that no representative, agent or attorney of the other party has</w:t>
      </w: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8" w:name="page99"/>
    <w:bookmarkEnd w:id="98"/>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 xml:space="preserve">represented, expressly or otherwise, that such other party would not, in the event of litigation, seek to enforce the foregoing waivers and (ii) acknowledges that it and the other parties have been induced to enter into this Agreement by, among other things, the mutual waivers and certifications contained in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505"/>
        <w:spacing w:after="0" w:line="236"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for Changes in Capitalization</w:t>
      </w:r>
      <w:r>
        <w:rPr>
          <w:rFonts w:ascii="Times New Roman" w:cs="Times New Roman" w:eastAsia="Times New Roman" w:hAnsi="Times New Roman"/>
          <w:sz w:val="22"/>
          <w:szCs w:val="22"/>
          <w:color w:val="auto"/>
        </w:rPr>
        <w:t>. In the event the Committee shall determine that any recapitalization, reorganization, merger, consolidation, spin-off, combination, repurchase or share exchange, stock split or stock dividend or other similar corporate transaction or event affects the shares of common stock of the Company such that an adjustment is appropriate in order to prevent dilution or enlargement of the rights of Awardee, then the Committee shall make such adjustments in the number and kind of shares under this Agreement as the Committee shall deem appropriate, and all such adjustments shall be conclusive.</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any of which may be executed and transmitted by facsimile or electronically, and each of which shall be deemed to be an original, but all of which together shall be deemed to be one and the same instrument.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9" w:name="page100"/>
    <w:bookmarkEnd w:id="99"/>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and the Awardee has signed this Agreement to evidence the Awardee’s acceptance of the terms hereof,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SAIA, INC.</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7221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color w:val="auto"/>
        </w:rPr>
        <w:t>Anthony R. Norwood,</w:t>
      </w:r>
    </w:p>
    <w:p>
      <w:pPr>
        <w:ind w:left="4780"/>
        <w:spacing w:after="0" w:line="230"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10972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Kelly W. Benton,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587375</wp:posOffset>
            </wp:positionV>
            <wp:extent cx="19202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Frederick J. Holzgrefe, III, Awardee</w:t>
      </w: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b w:val="1"/>
          <w:bCs w:val="1"/>
          <w:color w:val="auto"/>
        </w:rPr>
        <w:t>Exhibit 10.14(9)</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SAIA,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2018 OMNIBUS INCENTIVE PLAN</w:t>
      </w:r>
    </w:p>
    <w:p>
      <w:pPr>
        <w:spacing w:after="0" w:line="200" w:lineRule="exact"/>
        <w:rPr>
          <w:sz w:val="20"/>
          <w:szCs w:val="20"/>
          <w:color w:val="auto"/>
        </w:rPr>
      </w:pPr>
    </w:p>
    <w:p>
      <w:pPr>
        <w:spacing w:after="0" w:line="2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THIS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made as of [______] by and between Saia, Inc., a Delaware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(hereinafter called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 (hereinafter called the “</w:t>
      </w:r>
      <w:r>
        <w:rPr>
          <w:rFonts w:ascii="Times New Roman" w:cs="Times New Roman" w:eastAsia="Times New Roman" w:hAnsi="Times New Roman"/>
          <w:sz w:val="22"/>
          <w:szCs w:val="22"/>
          <w:u w:val="single" w:color="auto"/>
          <w:color w:val="auto"/>
        </w:rPr>
        <w:t>Awardee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WITNESSETH:</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Board of Directors of the Company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has adopted, and stockholders of the Company approved at the 2018 annual meeting of stockholders, the Saia, Inc. 2018 Omnibus Incentive Plan, as amended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which restricted stock of the Company may be granted to employees of the Company and its subsidiaries; and</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WHEREAS, Awardee is now an employee of the Company or a subsidiary of the Company; and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WHEREAS, the Company desires to make a restricted stock award to the Awardee for [________________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 shares of its common stock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under the terms hereinafter set forth and the terms of the Plan.</w:t>
      </w:r>
    </w:p>
    <w:p>
      <w:pPr>
        <w:spacing w:after="0" w:line="182"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including the mutual agreements hereinafter set forth, the receipt and sufficiency of which are acknowledged, it is covenanted and agreed as follows:</w:t>
      </w:r>
    </w:p>
    <w:p>
      <w:pPr>
        <w:spacing w:after="0" w:line="158" w:lineRule="exact"/>
        <w:rPr>
          <w:sz w:val="20"/>
          <w:szCs w:val="20"/>
          <w:color w:val="auto"/>
        </w:rPr>
      </w:pPr>
    </w:p>
    <w:p>
      <w:pPr>
        <w:jc w:val="both"/>
        <w:ind w:firstLine="1505"/>
        <w:spacing w:after="0" w:line="238"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Subject to Plan</w:t>
      </w:r>
      <w:r>
        <w:rPr>
          <w:rFonts w:ascii="Times New Roman" w:cs="Times New Roman" w:eastAsia="Times New Roman" w:hAnsi="Times New Roman"/>
          <w:sz w:val="22"/>
          <w:szCs w:val="22"/>
          <w:color w:val="auto"/>
        </w:rPr>
        <w:t xml:space="preserve">. This Award is made under and is expressly subject to all the terms and provisions of the Plan, a copy of which Awardee acknowledges has been received, and which terms are incorporated herein by reference. Awardee agrees to be bound by all the terms and provisions of the Plan. Terms not defined herein shall have the meaning ascribed thereto in the Plan. The Committee referred to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the Plan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has been appointed by the Board, and designated by it, as the Committee to make awards under the Plan.</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Pursuant to action of the Committee, which action was effective on [______]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awards to the Awardee [________________ (______)] shares of the common stock of the Company, of the par value of $0.001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provided, however, that the shares hereby awarded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are nontransferable by the Awardee unless and until vested as provided in this Agreement and are subject to the risk of forfeiture described herein. Unless and until vested, at the Company’s election, the shares awarded pursuant to this Agreement will either be represented in book-entry form by the transfer agent for the Common Stock or by a certificate held by the Company or such transfer agent. Any certificate relating to such shares shall be registered in the name of the Awardee and shall bear an appropriate legend referring to the applicable terms, conditions and restrictions.</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Vesting</w:t>
      </w:r>
      <w:r>
        <w:rPr>
          <w:rFonts w:ascii="Times New Roman" w:cs="Times New Roman" w:eastAsia="Times New Roman" w:hAnsi="Times New Roman"/>
          <w:sz w:val="22"/>
          <w:szCs w:val="22"/>
          <w:color w:val="auto"/>
        </w:rPr>
        <w:t>. If the Awardee is and has been continuously in the service of the Company or a subsidiary of the Company since the Date of Award, then the Award shall vest in three annual installments outlined in the table below with the first installment vesting on the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01" w:name="page102"/>
    <w:bookmarkEnd w:id="10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anniversary of the Date of Award, the second installment vesting on the two year anniversary of the Date of Award and the third installment vesting on the three year anniversary of the Date of Award after which such shares of Restricted Stock shall become immediately free of the restrictions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78" w:lineRule="exact"/>
        <w:rPr>
          <w:sz w:val="20"/>
          <w:szCs w:val="20"/>
          <w:color w:val="auto"/>
        </w:rPr>
      </w:pPr>
    </w:p>
    <w:tbl>
      <w:tblPr>
        <w:tblLayout w:type="fixed"/>
        <w:tblInd w:w="1650" w:type="dxa"/>
        <w:tblCellMar>
          <w:top w:w="0" w:type="dxa"/>
          <w:left w:w="0" w:type="dxa"/>
          <w:bottom w:w="0" w:type="dxa"/>
          <w:right w:w="0" w:type="dxa"/>
        </w:tblCellMar>
      </w:tblPr>
      <w:tr>
        <w:trPr>
          <w:trHeight w:val="257"/>
        </w:trPr>
        <w:tc>
          <w:tcPr>
            <w:tcW w:w="2940" w:type="dxa"/>
            <w:vAlign w:val="bottom"/>
            <w:tcBorders>
              <w:top w:val="single" w:sz="8" w:color="A6A6A6"/>
              <w:left w:val="single" w:sz="8" w:color="A6A6A6"/>
              <w:bottom w:val="single" w:sz="8" w:color="A6A6A6"/>
            </w:tcBorders>
            <w:shd w:val="clear" w:color="auto" w:fill="E7E6E6"/>
          </w:tcPr>
          <w:p>
            <w:pPr>
              <w:spacing w:after="0"/>
              <w:rPr>
                <w:sz w:val="22"/>
                <w:szCs w:val="22"/>
                <w:color w:val="auto"/>
              </w:rPr>
            </w:pPr>
          </w:p>
        </w:tc>
        <w:tc>
          <w:tcPr>
            <w:tcW w:w="5040" w:type="dxa"/>
            <w:vAlign w:val="bottom"/>
            <w:tcBorders>
              <w:top w:val="single" w:sz="8" w:color="A6A6A6"/>
              <w:bottom w:val="single" w:sz="8" w:color="A6A6A6"/>
              <w:right w:val="single" w:sz="8" w:color="A6A6A6"/>
            </w:tcBorders>
            <w:gridSpan w:val="2"/>
            <w:shd w:val="clear" w:color="auto" w:fill="E7E6E6"/>
          </w:tcPr>
          <w:p>
            <w:pPr>
              <w:ind w:left="400"/>
              <w:spacing w:after="0"/>
              <w:rPr>
                <w:sz w:val="20"/>
                <w:szCs w:val="20"/>
                <w:color w:val="auto"/>
              </w:rPr>
            </w:pPr>
            <w:r>
              <w:rPr>
                <w:rFonts w:ascii="Times New Roman" w:cs="Times New Roman" w:eastAsia="Times New Roman" w:hAnsi="Times New Roman"/>
                <w:sz w:val="22"/>
                <w:szCs w:val="22"/>
                <w:b w:val="1"/>
                <w:bCs w:val="1"/>
                <w:color w:val="auto"/>
              </w:rPr>
              <w:t>Vest Schedule</w:t>
            </w:r>
          </w:p>
        </w:tc>
      </w:tr>
      <w:tr>
        <w:trPr>
          <w:trHeight w:val="240"/>
        </w:trPr>
        <w:tc>
          <w:tcPr>
            <w:tcW w:w="2940" w:type="dxa"/>
            <w:vAlign w:val="bottom"/>
            <w:tcBorders>
              <w:left w:val="single" w:sz="8" w:color="A6A6A6"/>
              <w:bottom w:val="single" w:sz="8" w:color="A6A6A6"/>
            </w:tcBorders>
            <w:shd w:val="clear" w:color="auto" w:fill="E7E6E6"/>
          </w:tcPr>
          <w:p>
            <w:pPr>
              <w:jc w:val="center"/>
              <w:ind w:left="932"/>
              <w:spacing w:after="0" w:line="240" w:lineRule="exact"/>
              <w:rPr>
                <w:sz w:val="20"/>
                <w:szCs w:val="20"/>
                <w:color w:val="auto"/>
              </w:rPr>
            </w:pPr>
            <w:r>
              <w:rPr>
                <w:rFonts w:ascii="Times New Roman" w:cs="Times New Roman" w:eastAsia="Times New Roman" w:hAnsi="Times New Roman"/>
                <w:sz w:val="22"/>
                <w:szCs w:val="22"/>
                <w:b w:val="1"/>
                <w:bCs w:val="1"/>
                <w:color w:val="auto"/>
                <w:w w:val="98"/>
              </w:rPr>
              <w:t>Vest Date</w:t>
            </w:r>
          </w:p>
        </w:tc>
        <w:tc>
          <w:tcPr>
            <w:tcW w:w="1060" w:type="dxa"/>
            <w:vAlign w:val="bottom"/>
            <w:tcBorders>
              <w:bottom w:val="single" w:sz="8" w:color="A6A6A6"/>
              <w:right w:val="single" w:sz="8" w:color="A6A6A6"/>
            </w:tcBorders>
            <w:shd w:val="clear" w:color="auto" w:fill="E7E6E6"/>
          </w:tcPr>
          <w:p>
            <w:pPr>
              <w:spacing w:after="0"/>
              <w:rPr>
                <w:sz w:val="20"/>
                <w:szCs w:val="20"/>
                <w:color w:val="auto"/>
              </w:rPr>
            </w:pPr>
          </w:p>
        </w:tc>
        <w:tc>
          <w:tcPr>
            <w:tcW w:w="3980" w:type="dxa"/>
            <w:vAlign w:val="bottom"/>
            <w:tcBorders>
              <w:bottom w:val="single" w:sz="8" w:color="A6A6A6"/>
              <w:right w:val="single" w:sz="8" w:color="A6A6A6"/>
            </w:tcBorders>
            <w:shd w:val="clear" w:color="auto" w:fill="E7E6E6"/>
          </w:tcPr>
          <w:p>
            <w:pPr>
              <w:jc w:val="center"/>
              <w:spacing w:after="0" w:line="240" w:lineRule="exact"/>
              <w:rPr>
                <w:sz w:val="20"/>
                <w:szCs w:val="20"/>
                <w:color w:val="auto"/>
              </w:rPr>
            </w:pPr>
            <w:r>
              <w:rPr>
                <w:rFonts w:ascii="Times New Roman" w:cs="Times New Roman" w:eastAsia="Times New Roman" w:hAnsi="Times New Roman"/>
                <w:sz w:val="22"/>
                <w:szCs w:val="22"/>
                <w:b w:val="1"/>
                <w:bCs w:val="1"/>
                <w:color w:val="auto"/>
                <w:w w:val="98"/>
              </w:rPr>
              <w:t>Vest Quantity</w:t>
            </w:r>
          </w:p>
        </w:tc>
      </w:tr>
      <w:tr>
        <w:trPr>
          <w:trHeight w:val="237"/>
        </w:trPr>
        <w:tc>
          <w:tcPr>
            <w:tcW w:w="2940" w:type="dxa"/>
            <w:vAlign w:val="bottom"/>
            <w:tcBorders>
              <w:left w:val="single" w:sz="8" w:color="A6A6A6"/>
              <w:bottom w:val="single" w:sz="8" w:color="A6A6A6"/>
            </w:tcBorders>
          </w:tcPr>
          <w:p>
            <w:pPr>
              <w:jc w:val="center"/>
              <w:ind w:left="932"/>
              <w:spacing w:after="0" w:line="237" w:lineRule="exact"/>
              <w:rPr>
                <w:sz w:val="20"/>
                <w:szCs w:val="20"/>
                <w:color w:val="auto"/>
              </w:rPr>
            </w:pPr>
            <w:r>
              <w:rPr>
                <w:rFonts w:ascii="Times New Roman" w:cs="Times New Roman" w:eastAsia="Times New Roman" w:hAnsi="Times New Roman"/>
                <w:sz w:val="22"/>
                <w:szCs w:val="22"/>
                <w:color w:val="auto"/>
                <w:w w:val="99"/>
              </w:rPr>
              <w:t>dd-mm-yyyy</w:t>
            </w:r>
          </w:p>
        </w:tc>
        <w:tc>
          <w:tcPr>
            <w:tcW w:w="1060" w:type="dxa"/>
            <w:vAlign w:val="bottom"/>
            <w:tcBorders>
              <w:bottom w:val="single" w:sz="8" w:color="A6A6A6"/>
              <w:right w:val="single" w:sz="8" w:color="A6A6A6"/>
            </w:tcBorders>
          </w:tcPr>
          <w:p>
            <w:pPr>
              <w:spacing w:after="0"/>
              <w:rPr>
                <w:sz w:val="20"/>
                <w:szCs w:val="20"/>
                <w:color w:val="auto"/>
              </w:rPr>
            </w:pPr>
          </w:p>
        </w:tc>
        <w:tc>
          <w:tcPr>
            <w:tcW w:w="3980" w:type="dxa"/>
            <w:vAlign w:val="bottom"/>
            <w:tcBorders>
              <w:bottom w:val="single" w:sz="8" w:color="A6A6A6"/>
              <w:right w:val="single" w:sz="8" w:color="A6A6A6"/>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xxx</w:t>
            </w:r>
          </w:p>
        </w:tc>
      </w:tr>
      <w:tr>
        <w:trPr>
          <w:trHeight w:val="236"/>
        </w:trPr>
        <w:tc>
          <w:tcPr>
            <w:tcW w:w="2940" w:type="dxa"/>
            <w:vAlign w:val="bottom"/>
            <w:tcBorders>
              <w:left w:val="single" w:sz="8" w:color="A6A6A6"/>
              <w:bottom w:val="single" w:sz="8" w:color="A6A6A6"/>
            </w:tcBorders>
          </w:tcPr>
          <w:p>
            <w:pPr>
              <w:jc w:val="center"/>
              <w:ind w:left="932"/>
              <w:spacing w:after="0" w:line="237" w:lineRule="exact"/>
              <w:rPr>
                <w:sz w:val="20"/>
                <w:szCs w:val="20"/>
                <w:color w:val="auto"/>
              </w:rPr>
            </w:pPr>
            <w:r>
              <w:rPr>
                <w:rFonts w:ascii="Times New Roman" w:cs="Times New Roman" w:eastAsia="Times New Roman" w:hAnsi="Times New Roman"/>
                <w:sz w:val="22"/>
                <w:szCs w:val="22"/>
                <w:color w:val="auto"/>
                <w:w w:val="99"/>
              </w:rPr>
              <w:t>dd-mm-yyyy</w:t>
            </w:r>
          </w:p>
        </w:tc>
        <w:tc>
          <w:tcPr>
            <w:tcW w:w="1060" w:type="dxa"/>
            <w:vAlign w:val="bottom"/>
            <w:tcBorders>
              <w:bottom w:val="single" w:sz="8" w:color="A6A6A6"/>
              <w:right w:val="single" w:sz="8" w:color="A6A6A6"/>
            </w:tcBorders>
          </w:tcPr>
          <w:p>
            <w:pPr>
              <w:spacing w:after="0"/>
              <w:rPr>
                <w:sz w:val="20"/>
                <w:szCs w:val="20"/>
                <w:color w:val="auto"/>
              </w:rPr>
            </w:pPr>
          </w:p>
        </w:tc>
        <w:tc>
          <w:tcPr>
            <w:tcW w:w="3980" w:type="dxa"/>
            <w:vAlign w:val="bottom"/>
            <w:tcBorders>
              <w:bottom w:val="single" w:sz="8" w:color="A6A6A6"/>
              <w:right w:val="single" w:sz="8" w:color="A6A6A6"/>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xxx</w:t>
            </w:r>
          </w:p>
        </w:tc>
      </w:tr>
      <w:tr>
        <w:trPr>
          <w:trHeight w:val="244"/>
        </w:trPr>
        <w:tc>
          <w:tcPr>
            <w:tcW w:w="2940" w:type="dxa"/>
            <w:vAlign w:val="bottom"/>
            <w:tcBorders>
              <w:left w:val="single" w:sz="8" w:color="A6A6A6"/>
              <w:bottom w:val="single" w:sz="8" w:color="A6A6A6"/>
            </w:tcBorders>
          </w:tcPr>
          <w:p>
            <w:pPr>
              <w:jc w:val="center"/>
              <w:ind w:left="932"/>
              <w:spacing w:after="0" w:line="237" w:lineRule="exact"/>
              <w:rPr>
                <w:sz w:val="20"/>
                <w:szCs w:val="20"/>
                <w:color w:val="auto"/>
              </w:rPr>
            </w:pPr>
            <w:r>
              <w:rPr>
                <w:rFonts w:ascii="Times New Roman" w:cs="Times New Roman" w:eastAsia="Times New Roman" w:hAnsi="Times New Roman"/>
                <w:sz w:val="22"/>
                <w:szCs w:val="22"/>
                <w:color w:val="auto"/>
                <w:w w:val="99"/>
              </w:rPr>
              <w:t>dd-mm-yyyy</w:t>
            </w:r>
          </w:p>
        </w:tc>
        <w:tc>
          <w:tcPr>
            <w:tcW w:w="1060" w:type="dxa"/>
            <w:vAlign w:val="bottom"/>
            <w:tcBorders>
              <w:bottom w:val="single" w:sz="8" w:color="A6A6A6"/>
              <w:right w:val="single" w:sz="8" w:color="A6A6A6"/>
            </w:tcBorders>
          </w:tcPr>
          <w:p>
            <w:pPr>
              <w:spacing w:after="0"/>
              <w:rPr>
                <w:sz w:val="21"/>
                <w:szCs w:val="21"/>
                <w:color w:val="auto"/>
              </w:rPr>
            </w:pPr>
          </w:p>
        </w:tc>
        <w:tc>
          <w:tcPr>
            <w:tcW w:w="398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xxx</w:t>
            </w:r>
          </w:p>
        </w:tc>
      </w:tr>
      <w:tr>
        <w:trPr>
          <w:trHeight w:val="243"/>
        </w:trPr>
        <w:tc>
          <w:tcPr>
            <w:tcW w:w="2940" w:type="dxa"/>
            <w:vAlign w:val="bottom"/>
            <w:tcBorders>
              <w:left w:val="single" w:sz="8" w:color="A6A6A6"/>
              <w:bottom w:val="single" w:sz="8" w:color="A6A6A6"/>
            </w:tcBorders>
          </w:tcPr>
          <w:p>
            <w:pPr>
              <w:spacing w:after="0"/>
              <w:rPr>
                <w:sz w:val="21"/>
                <w:szCs w:val="21"/>
                <w:color w:val="auto"/>
              </w:rPr>
            </w:pPr>
          </w:p>
        </w:tc>
        <w:tc>
          <w:tcPr>
            <w:tcW w:w="1060" w:type="dxa"/>
            <w:vAlign w:val="bottom"/>
            <w:tcBorders>
              <w:bottom w:val="single" w:sz="8" w:color="A6A6A6"/>
              <w:right w:val="single" w:sz="8" w:color="A6A6A6"/>
            </w:tcBorders>
          </w:tcPr>
          <w:p>
            <w:pPr>
              <w:spacing w:after="0"/>
              <w:rPr>
                <w:sz w:val="21"/>
                <w:szCs w:val="21"/>
                <w:color w:val="auto"/>
              </w:rPr>
            </w:pPr>
          </w:p>
        </w:tc>
        <w:tc>
          <w:tcPr>
            <w:tcW w:w="3980" w:type="dxa"/>
            <w:vAlign w:val="bottom"/>
            <w:tcBorders>
              <w:bottom w:val="single" w:sz="8" w:color="A6A6A6"/>
              <w:right w:val="single" w:sz="8" w:color="A6A6A6"/>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xxx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-346075</wp:posOffset>
            </wp:positionV>
            <wp:extent cx="34290" cy="196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34290" cy="1968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firstLine="1505"/>
        <w:spacing w:after="0" w:line="258" w:lineRule="auto"/>
        <w:tabs>
          <w:tab w:leader="none" w:pos="20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Upon a Change in Control, all shares of Restricted Stock not then vested shall become immediately vested and free of the restrictions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54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the death of the Awardee or termination of employment of Awardee due to Total Disability, any shares of Restricted Stock that remain unvested at such time shall become immediately vested and free of the restrictions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54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termination of employment of Awardee due to Retirement on or after the one year anniversary of the Date of Award, any shares of Restricted Stock that remain unvested at such time shall become immediately vested and free of the restrictions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54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Awardee’s service with the Company and subsidiaries of the Company terminates for any reason (whether voluntary or involuntary) other than as specified in </w:t>
      </w:r>
      <w:r>
        <w:rPr>
          <w:rFonts w:ascii="Times New Roman" w:cs="Times New Roman" w:eastAsia="Times New Roman" w:hAnsi="Times New Roman"/>
          <w:sz w:val="22"/>
          <w:szCs w:val="22"/>
          <w:u w:val="single" w:color="auto"/>
          <w:color w:val="auto"/>
        </w:rPr>
        <w:t>Sections 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5(b)</w:t>
      </w:r>
      <w:r>
        <w:rPr>
          <w:rFonts w:ascii="Times New Roman" w:cs="Times New Roman" w:eastAsia="Times New Roman" w:hAnsi="Times New Roman"/>
          <w:sz w:val="22"/>
          <w:szCs w:val="22"/>
          <w:color w:val="auto"/>
        </w:rPr>
        <w:t>, any shares of Restricted Stock, to the extent not vested as of the termination date, shall thereupon automatically and without further action be cancelled and forfeited for no consideration.</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54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voluntary termination of employment by Awardee by reason of retirement at or after age 55. The determination of whether a particular termination of employment qualifies as Retirement shall be made in the sole discretion of the Committee; provided, however, that if the Awardee is not an officer subject to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at the Date of Award or at the time of determination, the determination whether a particular termination of employment is a Retirement under this subsection (d) may be made by an officer or officers of the Company designated by the Committee in its sole discretion.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Any cash or in-kind dividends paid with respect to the unvested shares of Restricted Stock shall be withheld by the Company and shall be paid to Awardee, without interest, only when, and if, such shares of Restricted Stock shall become fully vested, and in no event later than 2 ½ months after the close of the year in which such Restricted Stock vests.</w:t>
      </w: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2" w:name="page103"/>
    <w:bookmarkEnd w:id="102"/>
    <w:p>
      <w:pPr>
        <w:jc w:val="both"/>
        <w:ind w:left="-300" w:right="20" w:firstLine="1505"/>
        <w:spacing w:after="0" w:line="244" w:lineRule="auto"/>
        <w:tabs>
          <w:tab w:leader="none" w:pos="17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Prior to the vesting of the shares of Restricted Stock, the Awardee shall have no right to vote the shares and, except as expressly provided otherwise herein, no other rights as a holder of outstanding shares of Common Stock with respect to the Restricted Stock.</w:t>
      </w:r>
    </w:p>
    <w:p>
      <w:pPr>
        <w:spacing w:after="0" w:line="173" w:lineRule="exact"/>
        <w:rPr>
          <w:rFonts w:ascii="Times New Roman" w:cs="Times New Roman" w:eastAsia="Times New Roman" w:hAnsi="Times New Roman"/>
          <w:sz w:val="22"/>
          <w:szCs w:val="22"/>
          <w:color w:val="auto"/>
        </w:rPr>
      </w:pPr>
    </w:p>
    <w:p>
      <w:pPr>
        <w:jc w:val="both"/>
        <w:ind w:left="-300" w:firstLine="1505"/>
        <w:spacing w:after="0" w:line="233" w:lineRule="auto"/>
        <w:tabs>
          <w:tab w:leader="none" w:pos="17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and Taxes</w:t>
      </w:r>
      <w:r>
        <w:rPr>
          <w:rFonts w:ascii="Times New Roman" w:cs="Times New Roman" w:eastAsia="Times New Roman" w:hAnsi="Times New Roman"/>
          <w:sz w:val="22"/>
          <w:szCs w:val="22"/>
          <w:color w:val="auto"/>
        </w:rPr>
        <w:t xml:space="preserve">. As soon as practicable following the vesting of any shares of Restricted Stock, the Company shall deliver to Awardee shares of Common Stock then vested. Awardee shall pay, or make arrangements acceptable to the Company for the payment of, any and all federal, state, and local tax withholding that in the opinion of the Company is required by law. For the avoidance of doubt, the Awardee shall be entitled to satisfy any tax withholding obligations hereunder through an election to have shares of Common Stock of the Company withheld from any payments under this Agreement. Unless Awardee satisfies any such tax withholding obligation by paying the amount in cash, by check, stock withholding, or by other arrangements acceptable to the Company, the Company shall withhold a portion of the stock payable upon vesting equal to the tax withholding obligation. Any share withholding pursuant to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is intended to be exempt from Section 16(b) of the Exchange Act, pursuant to Rule 16b-3(e) under the Exchange Act. As a condition to the effectiveness of this Restricted Stock Award, Awardee shall not make any election to Section 83(b) of the Internal Revenue Code of 1986, as amended, to realize taxable income with respect to the Award as of the Date of Award without consent of the Committee.</w:t>
      </w:r>
    </w:p>
    <w:p>
      <w:pPr>
        <w:spacing w:after="0" w:line="187" w:lineRule="exact"/>
        <w:rPr>
          <w:rFonts w:ascii="Times New Roman" w:cs="Times New Roman" w:eastAsia="Times New Roman" w:hAnsi="Times New Roman"/>
          <w:sz w:val="22"/>
          <w:szCs w:val="22"/>
          <w:color w:val="auto"/>
        </w:rPr>
      </w:pPr>
    </w:p>
    <w:p>
      <w:pPr>
        <w:jc w:val="both"/>
        <w:ind w:left="-300" w:firstLine="1505"/>
        <w:spacing w:after="0" w:line="236" w:lineRule="auto"/>
        <w:tabs>
          <w:tab w:leader="none" w:pos="17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Administration</w:t>
      </w:r>
      <w:r>
        <w:rPr>
          <w:rFonts w:ascii="Times New Roman" w:cs="Times New Roman" w:eastAsia="Times New Roman" w:hAnsi="Times New Roman"/>
          <w:sz w:val="22"/>
          <w:szCs w:val="22"/>
          <w:color w:val="auto"/>
        </w:rPr>
        <w:t>. As it relates to the Award granted hereunder, the Committee shall have the sole responsibility for construing and interpreting this Agreement, and for resolving all questions arising hereunder. Any decision or action taken by the Committee arising out of, or in connection with, the construction, administration, interpretation or effect of this Agreement with respect to the Award shall be conclusive and binding upon all persons. The Committee may waive or amend any provisions hereof in any manner not adversely affecting the rights granted to or obligations of the Awardee by the express terms hereof.</w:t>
      </w:r>
    </w:p>
    <w:p>
      <w:pPr>
        <w:spacing w:after="0" w:line="181" w:lineRule="exact"/>
        <w:rPr>
          <w:rFonts w:ascii="Times New Roman" w:cs="Times New Roman" w:eastAsia="Times New Roman" w:hAnsi="Times New Roman"/>
          <w:sz w:val="22"/>
          <w:szCs w:val="22"/>
          <w:color w:val="auto"/>
        </w:rPr>
      </w:pPr>
    </w:p>
    <w:p>
      <w:pPr>
        <w:jc w:val="both"/>
        <w:ind w:left="-300" w:firstLine="1505"/>
        <w:spacing w:after="0" w:line="244" w:lineRule="auto"/>
        <w:tabs>
          <w:tab w:leader="none" w:pos="17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shall be deemed to create any limitation or restriction on such rights as the Company otherwise would have to terminate the service of the Awardee as an employee, as applicable.</w:t>
      </w:r>
    </w:p>
    <w:p>
      <w:pPr>
        <w:spacing w:after="0" w:line="173" w:lineRule="exact"/>
        <w:rPr>
          <w:rFonts w:ascii="Times New Roman" w:cs="Times New Roman" w:eastAsia="Times New Roman" w:hAnsi="Times New Roman"/>
          <w:sz w:val="22"/>
          <w:szCs w:val="22"/>
          <w:color w:val="auto"/>
        </w:rPr>
      </w:pPr>
    </w:p>
    <w:p>
      <w:pPr>
        <w:ind w:left="1740" w:hanging="535"/>
        <w:spacing w:after="0"/>
        <w:tabs>
          <w:tab w:leader="none" w:pos="17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260" w:hanging="306"/>
        <w:spacing w:after="0"/>
        <w:tabs>
          <w:tab w:leader="none" w:pos="22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Customer Confidences and 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960" w:firstLine="743"/>
        <w:spacing w:after="0" w:line="234" w:lineRule="auto"/>
        <w:tabs>
          <w:tab w:leader="none" w:pos="3278"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Customer Confidences</w:t>
      </w:r>
      <w:r>
        <w:rPr>
          <w:rFonts w:ascii="Times New Roman" w:cs="Times New Roman" w:eastAsia="Times New Roman" w:hAnsi="Times New Roman"/>
          <w:sz w:val="22"/>
          <w:szCs w:val="22"/>
          <w:color w:val="auto"/>
        </w:rPr>
        <w:t>. The customers of the Company expect that the Company will hold all business-related matters, including the fact that they are doing business with the Company and the specific matters on which they are doing business, in the strictest confidence (“</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Confidences</w:t>
      </w:r>
      <w:r>
        <w:rPr>
          <w:rFonts w:ascii="Times New Roman" w:cs="Times New Roman" w:eastAsia="Times New Roman" w:hAnsi="Times New Roman"/>
          <w:sz w:val="22"/>
          <w:szCs w:val="22"/>
          <w:color w:val="auto"/>
        </w:rPr>
        <w:t>”). The term Customer Confidences will not, however, include information which (A) is or becomes publicly available, other than as a result of a breach by Awardee of this Agreement or any restrictive covenants (including confidentiality, non-competition and non-solicitation) relating to the Company, or (B) is or becomes available to Awardee on a non-confidential basis from a source other than the Company or the Company’s representatives and outside of the course of such Awardee’s employment with the Company.</w:t>
      </w:r>
    </w:p>
    <w:p>
      <w:pPr>
        <w:spacing w:after="0" w:line="183" w:lineRule="exact"/>
        <w:rPr>
          <w:rFonts w:ascii="Times New Roman" w:cs="Times New Roman" w:eastAsia="Times New Roman" w:hAnsi="Times New Roman"/>
          <w:sz w:val="22"/>
          <w:szCs w:val="22"/>
          <w:color w:val="auto"/>
        </w:rPr>
      </w:pPr>
    </w:p>
    <w:p>
      <w:pPr>
        <w:ind w:left="1960" w:firstLine="743"/>
        <w:spacing w:after="0" w:line="258" w:lineRule="auto"/>
        <w:tabs>
          <w:tab w:leader="none" w:pos="3278"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Awardee also acknowledges that, during the course of Awardee’s employment, Awardee will have access to data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103" w:name="page104"/>
    <w:bookmarkEnd w:id="103"/>
    <w:p>
      <w:pPr>
        <w:jc w:val="both"/>
        <w:ind w:left="1960"/>
        <w:spacing w:after="0" w:line="243" w:lineRule="auto"/>
        <w:rPr>
          <w:sz w:val="20"/>
          <w:szCs w:val="20"/>
          <w:color w:val="auto"/>
        </w:rPr>
      </w:pPr>
      <w:r>
        <w:rPr>
          <w:rFonts w:ascii="Times New Roman" w:cs="Times New Roman" w:eastAsia="Times New Roman" w:hAnsi="Times New Roman"/>
          <w:sz w:val="21"/>
          <w:szCs w:val="21"/>
          <w:color w:val="auto"/>
        </w:rPr>
        <w:t>and information relating to the business of the Company (whether constituting a trade secret or not) which is or has been disclosed to the Awardee or of which the Awardee became aware as a consequence of or through Awardee’s relationship with the Company and which has value to the Company and is not generally known to the Company’s competitors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Such Confidential Information includes both written information and information not reduced to writing, and by way of example only: (A) the identity of the Company’s customers and prospective customers, including names, addresses and phone numbers, the characteristics, preferences and strategies of those customers, the types of services provided to and ordered by those customers; (B) the Company’s internal corporate policies related to those services, price lists, pricing information, fee arrangements, profit factors, quality programs, annual budgets, long-term business plans, marketing plans and methods, contracts and bids, personnel and the terms of dealings with customers; (C) financial and sales information, including the Company’s financial condition and performance; (D) information relating to inventions, discoveries and formulas, records, research and development data, trade secrets, processes, other methods of doing business, forecasts and business and marketing plans of the Company; (E) stockholder information; and (F) all Company Intellectual Property (as hereinafter defined). Confidential Information shall not include any data or information, even if otherwise set forth above as an example, which has been voluntarily disclosed to the public by the Company (except where such disclosure has been made by Awardee without authorization) or that has been independently developed and disclosed by others, or otherwise entered the public domain through lawful means.</w:t>
      </w:r>
    </w:p>
    <w:p>
      <w:pPr>
        <w:spacing w:after="0" w:line="187" w:lineRule="exact"/>
        <w:rPr>
          <w:sz w:val="20"/>
          <w:szCs w:val="20"/>
          <w:color w:val="auto"/>
        </w:rPr>
      </w:pPr>
    </w:p>
    <w:p>
      <w:pPr>
        <w:jc w:val="both"/>
        <w:ind w:left="1960" w:firstLine="743"/>
        <w:spacing w:after="0" w:line="244" w:lineRule="auto"/>
        <w:tabs>
          <w:tab w:leader="none" w:pos="327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 on Use of Customer Confidences and Confidential Information</w:t>
      </w:r>
      <w:r>
        <w:rPr>
          <w:rFonts w:ascii="Times New Roman" w:cs="Times New Roman" w:eastAsia="Times New Roman" w:hAnsi="Times New Roman"/>
          <w:sz w:val="21"/>
          <w:szCs w:val="21"/>
          <w:color w:val="auto"/>
        </w:rPr>
        <w:t>. Awardee agrees that, both during and after Awardee’s employment with the Company, Awardee will not directly or indirectly (A) use any Customer Confidences or Confidential Information, other than in furtherance of the business of the Company, or (B) disclose any Customer Confidences or Confidential Information, other than disclosure (1) to a director, officer, employee, attorney or agent of the Company who, in Awardee’s reasonable good faith judgment, has a need to know the Customer Confidences, Confidential Information or information derived therefrom or (2) to the U.S.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xml:space="preserve">”) (whether voluntarily or involuntarily), (3) as permitted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11(a)(v)</w:t>
      </w:r>
      <w:r>
        <w:rPr>
          <w:rFonts w:ascii="Times New Roman" w:cs="Times New Roman" w:eastAsia="Times New Roman" w:hAnsi="Times New Roman"/>
          <w:sz w:val="21"/>
          <w:szCs w:val="21"/>
          <w:color w:val="auto"/>
        </w:rPr>
        <w:t xml:space="preserve"> below, or (4) as required by law, rule, regulation, court order, or any governmental, judicial or regulatory process,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any event described in the preceding clause (4) (except with respect to disclosure to the SEC), (I) Awardee shall promptly notify the Company as is practicable and not prohibited by law, and consult with and reasonably assist the Company, at the Company’s sole expense, in seeking a protective order or request for another appropriate remedy, (II) in the event that such protective order or remedy is not obtained, or if the Company waives compliance with the terms of the preceding clause (I), Awardee shall disclose only that portion of the Customer Confidences or Confidential Information that, on the advice of Awardee’s legal counsel, is legally required to be disclosed and shall exercise reasonable efforts to assure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104" w:name="page105"/>
    <w:bookmarkEnd w:id="104"/>
    <w:p>
      <w:pPr>
        <w:jc w:val="both"/>
        <w:ind w:left="1960"/>
        <w:spacing w:after="0" w:line="239" w:lineRule="auto"/>
        <w:rPr>
          <w:sz w:val="20"/>
          <w:szCs w:val="20"/>
          <w:color w:val="auto"/>
        </w:rPr>
      </w:pPr>
      <w:r>
        <w:rPr>
          <w:rFonts w:ascii="Times New Roman" w:cs="Times New Roman" w:eastAsia="Times New Roman" w:hAnsi="Times New Roman"/>
          <w:sz w:val="22"/>
          <w:szCs w:val="22"/>
          <w:color w:val="auto"/>
        </w:rPr>
        <w:t>that confidential treatment shall be accorded to such Customer Confidences or Confidential Information by the receiving person or entity and (III) to the extent practicable and permitted by applicable law, the Company shall be given an opportunity to review the Customer Confidences or Confidential Information prior to disclosure thereof.</w:t>
      </w:r>
    </w:p>
    <w:p>
      <w:pPr>
        <w:spacing w:after="0" w:line="180" w:lineRule="exact"/>
        <w:rPr>
          <w:sz w:val="20"/>
          <w:szCs w:val="20"/>
          <w:color w:val="auto"/>
        </w:rPr>
      </w:pPr>
    </w:p>
    <w:p>
      <w:pPr>
        <w:jc w:val="both"/>
        <w:ind w:left="1960" w:firstLine="743"/>
        <w:spacing w:after="0" w:line="233" w:lineRule="auto"/>
        <w:tabs>
          <w:tab w:leader="none" w:pos="327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Customer Confidences and Confidential Information</w:t>
      </w:r>
      <w:r>
        <w:rPr>
          <w:rFonts w:ascii="Times New Roman" w:cs="Times New Roman" w:eastAsia="Times New Roman" w:hAnsi="Times New Roman"/>
          <w:sz w:val="22"/>
          <w:szCs w:val="22"/>
          <w:color w:val="auto"/>
        </w:rPr>
        <w:t>. Awardee acknowledges that any documents received or created by Awardee during the course of Awardee’s employment by the Company that contain or pertain to Customer Confidences or Confidential Information are and will remain the sole property of the Company. Such documents include, without limitation, files, memoranda, correspondence, reports, customer records, contact lists and compilations of information, however such information may be recorded and whether on hard copy or by electronic or computer means. Awardee agrees to return all such documents (including all copies) promptly upon the termination of Awardee’s employment and agrees that, during and after Awardee’s employment, Awardee will not, without the written consent of an officer of the Company, disclose those documents to anyone outside the Company organization or use those documents for any purpose other than as expressly provided herein.</w:t>
      </w:r>
    </w:p>
    <w:p>
      <w:pPr>
        <w:spacing w:after="0" w:line="187" w:lineRule="exact"/>
        <w:rPr>
          <w:rFonts w:ascii="Times New Roman" w:cs="Times New Roman" w:eastAsia="Times New Roman" w:hAnsi="Times New Roman"/>
          <w:sz w:val="22"/>
          <w:szCs w:val="22"/>
          <w:color w:val="auto"/>
        </w:rPr>
      </w:pPr>
    </w:p>
    <w:p>
      <w:pPr>
        <w:jc w:val="both"/>
        <w:ind w:left="1960" w:firstLine="743"/>
        <w:spacing w:after="0" w:line="243" w:lineRule="auto"/>
        <w:tabs>
          <w:tab w:leader="none" w:pos="327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above or any provision of this Agreement or any other agreement executed by Awardee to the contrary, there shall be no restriction on Awardee’s ability to (i) report violations of any law or regulation, (ii) provide truthful testimony or information pursuant to subpoena, court order, or similar legal process, (iii) provide truthful information to government or regulatory agencies, or (iv) 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w:t>
      </w:r>
      <w:r>
        <w:rPr>
          <w:rFonts w:ascii="Times New Roman" w:cs="Times New Roman" w:eastAsia="Times New Roman" w:hAnsi="Times New Roman"/>
          <w:sz w:val="21"/>
          <w:szCs w:val="21"/>
          <w:i w:val="1"/>
          <w:iCs w:val="1"/>
          <w:color w:val="auto"/>
        </w:rPr>
        <w:t>“(1) An individual shall not be held criminally or civilly liable under any Federal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5" w:lineRule="exact"/>
        <w:rPr>
          <w:rFonts w:ascii="Times New Roman" w:cs="Times New Roman" w:eastAsia="Times New Roman" w:hAnsi="Times New Roman"/>
          <w:sz w:val="21"/>
          <w:szCs w:val="21"/>
          <w:color w:val="auto"/>
        </w:rPr>
      </w:pPr>
    </w:p>
    <w:p>
      <w:pPr>
        <w:jc w:val="both"/>
        <w:ind w:left="1960" w:hanging="6"/>
        <w:spacing w:after="0" w:line="232" w:lineRule="auto"/>
        <w:tabs>
          <w:tab w:leader="none" w:pos="2301"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w:t>
      </w:r>
      <w:r>
        <w:rPr>
          <w:rFonts w:ascii="Times New Roman" w:cs="Times New Roman" w:eastAsia="Times New Roman" w:hAnsi="Times New Roman"/>
          <w:sz w:val="22"/>
          <w:szCs w:val="22"/>
          <w:color w:val="auto"/>
        </w:rPr>
        <w:t>Nothing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any other agreement executed by Awardee, or any Company policy is intended to conflict with this statutory protection.</w:t>
      </w:r>
    </w:p>
    <w:p>
      <w:pPr>
        <w:spacing w:after="0" w:line="183" w:lineRule="exact"/>
        <w:rPr>
          <w:sz w:val="20"/>
          <w:szCs w:val="20"/>
          <w:color w:val="auto"/>
        </w:rPr>
      </w:pPr>
    </w:p>
    <w:p>
      <w:pPr>
        <w:ind w:left="2260" w:hanging="306"/>
        <w:spacing w:after="0"/>
        <w:tabs>
          <w:tab w:leader="none" w:pos="2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960" w:firstLine="743"/>
        <w:spacing w:after="0" w:line="261" w:lineRule="auto"/>
        <w:tabs>
          <w:tab w:leader="none" w:pos="3278"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Awardee agrees to disclose promptly to the Company all ideas, inventions, discoveries, improvements, designs, formulae, processes, production methods and technological innovations (which, together with all intellectual property rights that might be available therein including, without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105" w:name="page106"/>
    <w:bookmarkEnd w:id="105"/>
    <w:p>
      <w:pPr>
        <w:jc w:val="both"/>
        <w:ind w:left="1960"/>
        <w:spacing w:after="0" w:line="235" w:lineRule="auto"/>
        <w:rPr>
          <w:sz w:val="20"/>
          <w:szCs w:val="20"/>
          <w:color w:val="auto"/>
        </w:rPr>
      </w:pPr>
      <w:r>
        <w:rPr>
          <w:rFonts w:ascii="Times New Roman" w:cs="Times New Roman" w:eastAsia="Times New Roman" w:hAnsi="Times New Roman"/>
          <w:sz w:val="22"/>
          <w:szCs w:val="22"/>
          <w:color w:val="auto"/>
        </w:rPr>
        <w:t>limitation, patents, copyrights and trade secrets, shall hereinafter be referred to as “</w:t>
      </w:r>
      <w:r>
        <w:rPr>
          <w:rFonts w:ascii="Times New Roman" w:cs="Times New Roman" w:eastAsia="Times New Roman" w:hAnsi="Times New Roman"/>
          <w:sz w:val="22"/>
          <w:szCs w:val="22"/>
          <w:u w:val="single" w:color="auto"/>
          <w:color w:val="auto"/>
        </w:rPr>
        <w:t>Intellectual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whether or not patentable, which Awardee has conceived or made or may hereafter conceive or make, alone or with others, in connection with Awardee’s employment by the Company either prior to or after the date of this Agreement, whether or not during working hours, and which (A) relate specifically to the business of the Company; (B) are based on or derived from Awardee’s knowledge of the actual or planned business activities of the Company; or (C) are developed using existing Intellectual Property belonging to the Company (collectively, “</w:t>
      </w:r>
      <w:r>
        <w:rPr>
          <w:rFonts w:ascii="Times New Roman" w:cs="Times New Roman" w:eastAsia="Times New Roman" w:hAnsi="Times New Roman"/>
          <w:sz w:val="22"/>
          <w:szCs w:val="22"/>
          <w:u w:val="single" w:color="auto"/>
          <w:color w:val="auto"/>
        </w:rPr>
        <w:t>Company Intellectual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1960" w:firstLine="743"/>
        <w:spacing w:after="0" w:line="244" w:lineRule="auto"/>
        <w:tabs>
          <w:tab w:leader="none" w:pos="327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Awardee agrees to assign, and does hereby assign, to the Company (and to bind Awardee’s heirs, executors and administrators, to assign to the Company) all Company Intellectual Property, regardless of when such Company Intellectual Property was created.</w:t>
      </w:r>
    </w:p>
    <w:p>
      <w:pPr>
        <w:spacing w:after="0" w:line="173" w:lineRule="exact"/>
        <w:rPr>
          <w:rFonts w:ascii="Times New Roman" w:cs="Times New Roman" w:eastAsia="Times New Roman" w:hAnsi="Times New Roman"/>
          <w:sz w:val="22"/>
          <w:szCs w:val="22"/>
          <w:color w:val="auto"/>
        </w:rPr>
      </w:pPr>
    </w:p>
    <w:p>
      <w:pPr>
        <w:jc w:val="both"/>
        <w:ind w:left="1960" w:firstLine="743"/>
        <w:spacing w:after="0" w:line="239" w:lineRule="auto"/>
        <w:tabs>
          <w:tab w:leader="none" w:pos="327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further compensation but at the Company’s expense, Awardee agrees to give all testimony and execute all patent applications, rights of priority, assignments and other documents, and in general do all lawful things reasonably requested of Awardee by the Company to enable the Company to obtain, maintain and enforce its rights to such Company Intellectual Property.</w:t>
      </w:r>
    </w:p>
    <w:p>
      <w:pPr>
        <w:spacing w:after="0" w:line="180" w:lineRule="exact"/>
        <w:rPr>
          <w:rFonts w:ascii="Times New Roman" w:cs="Times New Roman" w:eastAsia="Times New Roman" w:hAnsi="Times New Roman"/>
          <w:sz w:val="22"/>
          <w:szCs w:val="22"/>
          <w:color w:val="auto"/>
        </w:rPr>
      </w:pPr>
    </w:p>
    <w:p>
      <w:pPr>
        <w:jc w:val="both"/>
        <w:ind w:left="1960" w:firstLine="743"/>
        <w:spacing w:after="0" w:line="233" w:lineRule="auto"/>
        <w:tabs>
          <w:tab w:leader="none" w:pos="327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Awardee’s work product during Awardee’s employment by Company or during Awardee’s involvement or relationship with the Company and all parts thereof shall be “</w:t>
      </w:r>
      <w:r>
        <w:rPr>
          <w:rFonts w:ascii="Times New Roman" w:cs="Times New Roman" w:eastAsia="Times New Roman" w:hAnsi="Times New Roman"/>
          <w:sz w:val="22"/>
          <w:szCs w:val="22"/>
          <w:u w:val="single" w:color="auto"/>
          <w:color w:val="auto"/>
        </w:rPr>
        <w:t>work made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hire</w:t>
      </w:r>
      <w:r>
        <w:rPr>
          <w:rFonts w:ascii="Times New Roman" w:cs="Times New Roman" w:eastAsia="Times New Roman" w:hAnsi="Times New Roman"/>
          <w:sz w:val="22"/>
          <w:szCs w:val="22"/>
          <w:color w:val="auto"/>
        </w:rPr>
        <w:t>” for the Company within the meaning of the United States Copyright Act of 1976, as amended from time to time, and for all other purposes, and Awardee hereby quitclaims and assigns to the Company any and all other rights Awardee may have or acquire therein. Accordingly, all right, title and interest in any and all materials, or other property, including, without limitation, trademarks, service marks and related rights, whether or not copyrightable, created, developed, adapted, formulated or improved by Awardee (whether alone or in conjunction with any other person or employee), constituting Company Intellectual Property shall be owned exclusively by the Company. Awardee will not have or claim to have under this Agreement, or otherwise, any right, title or interest of any kind or nature whatsoever in any Company Intellectual Property.</w:t>
      </w:r>
    </w:p>
    <w:p>
      <w:pPr>
        <w:spacing w:after="0" w:line="187" w:lineRule="exact"/>
        <w:rPr>
          <w:rFonts w:ascii="Times New Roman" w:cs="Times New Roman" w:eastAsia="Times New Roman" w:hAnsi="Times New Roman"/>
          <w:sz w:val="22"/>
          <w:szCs w:val="22"/>
          <w:color w:val="auto"/>
        </w:rPr>
      </w:pPr>
    </w:p>
    <w:p>
      <w:pPr>
        <w:ind w:left="2260" w:hanging="306"/>
        <w:spacing w:after="0"/>
        <w:tabs>
          <w:tab w:leader="none" w:pos="22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960" w:firstLine="743"/>
        <w:spacing w:after="0" w:line="235" w:lineRule="auto"/>
        <w:tabs>
          <w:tab w:leader="none" w:pos="327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Awardee agrees that, during the period commencing on the Date of Award and for a period of one (1) year after the date the Awardee ceases to be employed by the Company (the “</w:t>
      </w:r>
      <w:r>
        <w:rPr>
          <w:rFonts w:ascii="Times New Roman" w:cs="Times New Roman" w:eastAsia="Times New Roman" w:hAnsi="Times New Roman"/>
          <w:sz w:val="22"/>
          <w:szCs w:val="22"/>
          <w:u w:val="single" w:color="auto"/>
          <w:color w:val="auto"/>
        </w:rPr>
        <w:t>Covenant Period</w:t>
      </w:r>
      <w:r>
        <w:rPr>
          <w:rFonts w:ascii="Times New Roman" w:cs="Times New Roman" w:eastAsia="Times New Roman" w:hAnsi="Times New Roman"/>
          <w:sz w:val="22"/>
          <w:szCs w:val="22"/>
          <w:color w:val="auto"/>
        </w:rPr>
        <w:t>”), Awardee shall not: (1) within the Area, for a Protected Business (as defined below), directly or indirectly, whether as an employee, agent or independent contractor, perform duties or responsibilities substantially similar to those Awardee conducted, offered or provided for the Company during the last twenty-four (24) months of Awardee’s employment with the Company (or such shorter period of time Awardee may have been employed); (2) within the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106" w:name="page107"/>
    <w:bookmarkEnd w:id="106"/>
    <w:p>
      <w:pPr>
        <w:jc w:val="both"/>
        <w:ind w:left="1960"/>
        <w:spacing w:after="0" w:line="234" w:lineRule="auto"/>
        <w:rPr>
          <w:sz w:val="20"/>
          <w:szCs w:val="20"/>
          <w:color w:val="auto"/>
        </w:rPr>
      </w:pPr>
      <w:r>
        <w:rPr>
          <w:rFonts w:ascii="Times New Roman" w:cs="Times New Roman" w:eastAsia="Times New Roman" w:hAnsi="Times New Roman"/>
          <w:sz w:val="22"/>
          <w:szCs w:val="22"/>
          <w:color w:val="auto"/>
        </w:rPr>
        <w:t xml:space="preserve">Area, for a Protected Business, directly or indirectly, whether as an employee, agent or independent contractor, perform any duties or responsibilities with regard to the development or enhancement of a product, service or software application competitive with any product, service or software application of the Company about which Awardee had access to, obtained or created Confidential Information during the last twenty-four (24) months of Awardee’s employment with the Company (or such shorter period of time Awardee may have been employed); or (3) directly or indirectly, own an equity or financial interest in any Protected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prohibit Awardee from being an owner of not more than 1.9% of the outstanding equity interests in any entity which has equity securities listed on a national stock exchange or other public market.</w:t>
      </w:r>
    </w:p>
    <w:p>
      <w:pPr>
        <w:spacing w:after="0" w:line="183" w:lineRule="exact"/>
        <w:rPr>
          <w:sz w:val="20"/>
          <w:szCs w:val="20"/>
          <w:color w:val="auto"/>
        </w:rPr>
      </w:pPr>
    </w:p>
    <w:p>
      <w:pPr>
        <w:jc w:val="both"/>
        <w:ind w:left="1960" w:firstLine="743"/>
        <w:spacing w:after="0" w:line="245" w:lineRule="auto"/>
        <w:tabs>
          <w:tab w:leader="none" w:pos="3278"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following the date the Awardee ceases to be employed by the Company and at least 90 days prior to the expiration of the Covenant Period, the Company may in its sole discretion extend such Covenant Period for one (1) additional year, which during such extended Covenant Period Awardee will receive severance payments equal to twelve (12) months of Awardee’s base salary in effect at the time Awardee ceased to be employed by the Company (the “</w:t>
      </w:r>
      <w:r>
        <w:rPr>
          <w:rFonts w:ascii="Times New Roman" w:cs="Times New Roman" w:eastAsia="Times New Roman" w:hAnsi="Times New Roman"/>
          <w:sz w:val="21"/>
          <w:szCs w:val="21"/>
          <w:u w:val="single" w:color="auto"/>
          <w:color w:val="auto"/>
        </w:rPr>
        <w:t>Severance Payments</w:t>
      </w:r>
      <w:r>
        <w:rPr>
          <w:rFonts w:ascii="Times New Roman" w:cs="Times New Roman" w:eastAsia="Times New Roman" w:hAnsi="Times New Roman"/>
          <w:sz w:val="21"/>
          <w:szCs w:val="21"/>
          <w:color w:val="auto"/>
        </w:rPr>
        <w:t xml:space="preserve">”). Severance Payments, if elected by the Company, shall be payable in equal installments in accordance with the Company’s normal payroll practices. If the Company elects to extend the Covenant Period, then Awardee shall be entitled to Severance Payments only so long as Awardee has not breached any of the provisions of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Awardee shall not be entitled to any other salary, compensation or benefits after termination of employment, except as may be provided under any Executive Severance Agreement between Awardee and the Company (if any) or as required by law.</w:t>
      </w:r>
    </w:p>
    <w:p>
      <w:pPr>
        <w:spacing w:after="0" w:line="177" w:lineRule="exact"/>
        <w:rPr>
          <w:rFonts w:ascii="Times New Roman" w:cs="Times New Roman" w:eastAsia="Times New Roman" w:hAnsi="Times New Roman"/>
          <w:sz w:val="21"/>
          <w:szCs w:val="21"/>
          <w:color w:val="auto"/>
        </w:rPr>
      </w:pPr>
    </w:p>
    <w:p>
      <w:pPr>
        <w:jc w:val="both"/>
        <w:ind w:left="1960" w:firstLine="743"/>
        <w:spacing w:after="0" w:line="249" w:lineRule="auto"/>
        <w:tabs>
          <w:tab w:leader="none" w:pos="3278"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w:t>
      </w:r>
      <w:r>
        <w:rPr>
          <w:rFonts w:ascii="Times New Roman" w:cs="Times New Roman" w:eastAsia="Times New Roman" w:hAnsi="Times New Roman"/>
          <w:sz w:val="21"/>
          <w:szCs w:val="21"/>
          <w:u w:val="single" w:color="auto"/>
          <w:color w:val="auto"/>
        </w:rPr>
        <w:t>Protected Business</w:t>
      </w:r>
      <w:r>
        <w:rPr>
          <w:rFonts w:ascii="Times New Roman" w:cs="Times New Roman" w:eastAsia="Times New Roman" w:hAnsi="Times New Roman"/>
          <w:sz w:val="21"/>
          <w:szCs w:val="21"/>
          <w:color w:val="auto"/>
        </w:rPr>
        <w:t>” is defined as any firm, business or person who (1) provides regional, interregional and/or national less-than-truckload transportation services; or (2) engages in any business that the Company was operating at any time during the last two</w:t>
      </w:r>
    </w:p>
    <w:p>
      <w:pPr>
        <w:spacing w:after="0" w:line="1" w:lineRule="exact"/>
        <w:rPr>
          <w:rFonts w:ascii="Times New Roman" w:cs="Times New Roman" w:eastAsia="Times New Roman" w:hAnsi="Times New Roman"/>
          <w:sz w:val="21"/>
          <w:szCs w:val="21"/>
          <w:color w:val="auto"/>
        </w:rPr>
      </w:pPr>
    </w:p>
    <w:p>
      <w:pPr>
        <w:jc w:val="both"/>
        <w:ind w:left="1960" w:hanging="6"/>
        <w:spacing w:after="0" w:line="234" w:lineRule="auto"/>
        <w:tabs>
          <w:tab w:leader="none" w:pos="228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years of Awardee’s employment with the Company (or such shorter period of time Awardee may have been employed) so long as the Company, to the extent it seeks to enforce the restrictions set forth in this Agreement, continues to engage in such business at the time it seeks to enforce the restrictions. A Protected Business also includes any of the companies identified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77" w:lineRule="exact"/>
        <w:rPr>
          <w:rFonts w:ascii="Times New Roman" w:cs="Times New Roman" w:eastAsia="Times New Roman" w:hAnsi="Times New Roman"/>
          <w:sz w:val="22"/>
          <w:szCs w:val="22"/>
          <w:color w:val="auto"/>
        </w:rPr>
      </w:pPr>
    </w:p>
    <w:p>
      <w:pPr>
        <w:jc w:val="both"/>
        <w:ind w:left="1960" w:firstLine="743"/>
        <w:spacing w:after="0" w:line="244" w:lineRule="auto"/>
        <w:tabs>
          <w:tab w:leader="none" w:pos="3278"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Area</w:t>
      </w:r>
      <w:r>
        <w:rPr>
          <w:rFonts w:ascii="Times New Roman" w:cs="Times New Roman" w:eastAsia="Times New Roman" w:hAnsi="Times New Roman"/>
          <w:sz w:val="22"/>
          <w:szCs w:val="22"/>
          <w:color w:val="auto"/>
        </w:rPr>
        <w:t>” means any state in the United States in which the Company performs services for its customers at any time during the period in which Awardee is employed by the Company.</w:t>
      </w:r>
    </w:p>
    <w:p>
      <w:pPr>
        <w:spacing w:after="0" w:line="173" w:lineRule="exact"/>
        <w:rPr>
          <w:rFonts w:ascii="Times New Roman" w:cs="Times New Roman" w:eastAsia="Times New Roman" w:hAnsi="Times New Roman"/>
          <w:sz w:val="22"/>
          <w:szCs w:val="22"/>
          <w:color w:val="auto"/>
        </w:rPr>
      </w:pPr>
    </w:p>
    <w:p>
      <w:pPr>
        <w:jc w:val="both"/>
        <w:ind w:left="1200" w:firstLine="754"/>
        <w:spacing w:after="0" w:line="239" w:lineRule="auto"/>
        <w:tabs>
          <w:tab w:leader="none" w:pos="22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Customer Non-Solicitation</w:t>
      </w:r>
      <w:r>
        <w:rPr>
          <w:rFonts w:ascii="Times New Roman" w:cs="Times New Roman" w:eastAsia="Times New Roman" w:hAnsi="Times New Roman"/>
          <w:sz w:val="22"/>
          <w:szCs w:val="22"/>
          <w:color w:val="auto"/>
        </w:rPr>
        <w:t>. Awardee agrees that, during the period commencing on the Date of Award and for a period of two (2) years after the date the Awardee ceases to be employed by the Company (the “</w:t>
      </w:r>
      <w:r>
        <w:rPr>
          <w:rFonts w:ascii="Times New Roman" w:cs="Times New Roman" w:eastAsia="Times New Roman" w:hAnsi="Times New Roman"/>
          <w:sz w:val="22"/>
          <w:szCs w:val="22"/>
          <w:u w:val="single" w:color="auto"/>
          <w:color w:val="auto"/>
        </w:rPr>
        <w:t>Non-Solicitation Period</w:t>
      </w:r>
      <w:r>
        <w:rPr>
          <w:rFonts w:ascii="Times New Roman" w:cs="Times New Roman" w:eastAsia="Times New Roman" w:hAnsi="Times New Roman"/>
          <w:sz w:val="22"/>
          <w:szCs w:val="22"/>
          <w:color w:val="auto"/>
        </w:rPr>
        <w:t>”), Awardee shall not, directly or indirectly, (on Awardee’s own behalf or on behalf of any other firm, business or person) call on, contact, solicit or attempt to solicit 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107" w:name="page108"/>
    <w:bookmarkEnd w:id="107"/>
    <w:p>
      <w:pPr>
        <w:jc w:val="both"/>
        <w:ind w:left="1200"/>
        <w:spacing w:after="0" w:line="246" w:lineRule="auto"/>
        <w:rPr>
          <w:sz w:val="20"/>
          <w:szCs w:val="20"/>
          <w:color w:val="auto"/>
        </w:rPr>
      </w:pPr>
      <w:r>
        <w:rPr>
          <w:rFonts w:ascii="Times New Roman" w:cs="Times New Roman" w:eastAsia="Times New Roman" w:hAnsi="Times New Roman"/>
          <w:sz w:val="21"/>
          <w:szCs w:val="21"/>
          <w:color w:val="auto"/>
        </w:rPr>
        <w:t>customer or actively sought prospective customer of the Company, with whom the Awardee had Material Contact during Awardee’s employment with the Company, for purposes of providing products or services that are competitive with those offered by the Company. For purposes of this Agreement, “</w:t>
      </w:r>
      <w:r>
        <w:rPr>
          <w:rFonts w:ascii="Times New Roman" w:cs="Times New Roman" w:eastAsia="Times New Roman" w:hAnsi="Times New Roman"/>
          <w:sz w:val="21"/>
          <w:szCs w:val="21"/>
          <w:u w:val="single" w:color="auto"/>
          <w:color w:val="auto"/>
        </w:rPr>
        <w:t>Material Contact</w:t>
      </w:r>
      <w:r>
        <w:rPr>
          <w:rFonts w:ascii="Times New Roman" w:cs="Times New Roman" w:eastAsia="Times New Roman" w:hAnsi="Times New Roman"/>
          <w:sz w:val="21"/>
          <w:szCs w:val="21"/>
          <w:color w:val="auto"/>
        </w:rPr>
        <w:t>” means the contact between Awardee and each customer or potential customer: (a) with whom or which Awardee dealt on behalf of the Company; (b) whose dealings with the Company were coordinated or supervised by Awardee;</w:t>
      </w:r>
    </w:p>
    <w:p>
      <w:pPr>
        <w:spacing w:after="0" w:line="1" w:lineRule="exact"/>
        <w:rPr>
          <w:sz w:val="20"/>
          <w:szCs w:val="20"/>
          <w:color w:val="auto"/>
        </w:rPr>
      </w:pPr>
    </w:p>
    <w:p>
      <w:pPr>
        <w:jc w:val="both"/>
        <w:ind w:left="1200" w:firstLine="5"/>
        <w:spacing w:after="0" w:line="234" w:lineRule="auto"/>
        <w:tabs>
          <w:tab w:leader="none" w:pos="152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about whom Awardee obtained confidential information in the ordinary course of business as a result of Awardee’s association with the Company; or (d) who receives products or services authorized by the Company, the sale or provision of which results or resulted in compensation, commissions, or earnings for Awardee within two (2) years prior to the date of the Awardee’s termination.</w:t>
      </w:r>
    </w:p>
    <w:p>
      <w:pPr>
        <w:spacing w:after="0" w:line="177" w:lineRule="exact"/>
        <w:rPr>
          <w:rFonts w:ascii="Times New Roman" w:cs="Times New Roman" w:eastAsia="Times New Roman" w:hAnsi="Times New Roman"/>
          <w:sz w:val="22"/>
          <w:szCs w:val="22"/>
          <w:color w:val="auto"/>
        </w:rPr>
      </w:pPr>
    </w:p>
    <w:p>
      <w:pPr>
        <w:jc w:val="both"/>
        <w:ind w:left="1200" w:firstLine="754"/>
        <w:spacing w:after="0" w:line="233" w:lineRule="auto"/>
        <w:tabs>
          <w:tab w:leader="none" w:pos="2248"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Awardee Non-Solicitation/Non-Hire</w:t>
      </w:r>
      <w:r>
        <w:rPr>
          <w:rFonts w:ascii="Times New Roman" w:cs="Times New Roman" w:eastAsia="Times New Roman" w:hAnsi="Times New Roman"/>
          <w:sz w:val="22"/>
          <w:szCs w:val="22"/>
          <w:color w:val="auto"/>
        </w:rPr>
        <w:t xml:space="preserve">. Awardee agrees that, during the Non-Solicitation Period, Awardee shall not, within the Area, directly or indirectly, (on Awardee’s own behalf or on behalf of any other firm, business or person) (i) induce or attempt to induce any employee or independent contractor of the Company to leave the Company, or in any way interfere with the relationship between the Company, on the one hand, and any employee or independent contractor thereof, on the other hand, (ii) solicit for hiring or hire or attempt to solicit for hiring or hire any employee or independent contractor of the Company, or (iii) solicit for hiring or hire or attempt to solicit for hiring or hire any person who was an employee or independent contractor of the Company at any time during the six (6) months prior to such solicitation or hiring unless such person’s relationship was terminated by the Company without cause. The foregoing shall not prohibit general advertising not specifically targeted at employees or independent contractors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preceding clause shall not permit Awardee to take any action that would violate or conflict with the covenants and agreements set forth in this Agreement or any other agreement with the Company and shall in no way limit or affect Awardee’s obligations under such covenants and agreements.</w:t>
      </w:r>
    </w:p>
    <w:p>
      <w:pPr>
        <w:spacing w:after="0" w:line="182" w:lineRule="exact"/>
        <w:rPr>
          <w:sz w:val="20"/>
          <w:szCs w:val="20"/>
          <w:color w:val="auto"/>
        </w:rPr>
      </w:pPr>
    </w:p>
    <w:p>
      <w:pPr>
        <w:ind w:left="1740" w:hanging="535"/>
        <w:spacing w:after="0"/>
        <w:tabs>
          <w:tab w:leader="none" w:pos="17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200" w:firstLine="754"/>
        <w:spacing w:after="0" w:line="238" w:lineRule="auto"/>
        <w:tabs>
          <w:tab w:leader="none" w:pos="224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Awardee understands that the execution of this Agreement is conditioned on Awardee’s acceptance of the restrictions contained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Awardee acknowledges that the restrictions contained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are fair, reasonable and necessary for the protection of the legitimate business interests of the Company and that the Company will suffer irreparable harm in the event of an actual or threatened breach of any such provision by Awardee.</w:t>
      </w:r>
    </w:p>
    <w:p>
      <w:pPr>
        <w:spacing w:after="0" w:line="176" w:lineRule="exact"/>
        <w:rPr>
          <w:rFonts w:ascii="Times New Roman" w:cs="Times New Roman" w:eastAsia="Times New Roman" w:hAnsi="Times New Roman"/>
          <w:sz w:val="22"/>
          <w:szCs w:val="22"/>
          <w:color w:val="auto"/>
        </w:rPr>
      </w:pPr>
    </w:p>
    <w:p>
      <w:pPr>
        <w:ind w:left="1200" w:right="20" w:firstLine="754"/>
        <w:spacing w:after="0" w:line="258" w:lineRule="auto"/>
        <w:tabs>
          <w:tab w:leader="none" w:pos="224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breach of any of the covenants contained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subject to the Company’s discretion to waive such enforcement provision:</w:t>
      </w:r>
    </w:p>
    <w:p>
      <w:pPr>
        <w:spacing w:after="0" w:line="158" w:lineRule="exact"/>
        <w:rPr>
          <w:rFonts w:ascii="Times New Roman" w:cs="Times New Roman" w:eastAsia="Times New Roman" w:hAnsi="Times New Roman"/>
          <w:sz w:val="22"/>
          <w:szCs w:val="22"/>
          <w:color w:val="auto"/>
        </w:rPr>
      </w:pPr>
    </w:p>
    <w:p>
      <w:pPr>
        <w:ind w:left="1960" w:right="20" w:firstLine="743"/>
        <w:spacing w:after="0" w:line="258" w:lineRule="auto"/>
        <w:tabs>
          <w:tab w:leader="none" w:pos="3278"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Awardee’s unvested Restricted Stock granted hereunder shall be cancelled and forfeited for no consideration;</w:t>
      </w:r>
    </w:p>
    <w:p>
      <w:pPr>
        <w:spacing w:after="0" w:line="158" w:lineRule="exact"/>
        <w:rPr>
          <w:rFonts w:ascii="Times New Roman" w:cs="Times New Roman" w:eastAsia="Times New Roman" w:hAnsi="Times New Roman"/>
          <w:sz w:val="22"/>
          <w:szCs w:val="22"/>
          <w:color w:val="auto"/>
        </w:rPr>
      </w:pPr>
    </w:p>
    <w:p>
      <w:pPr>
        <w:ind w:left="1960" w:firstLine="743"/>
        <w:spacing w:after="0" w:line="258" w:lineRule="auto"/>
        <w:tabs>
          <w:tab w:leader="none" w:pos="3278"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exercise any of its rights or remedies, including without limitation, forfeiture rights, under the Compensation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108" w:name="page109"/>
    <w:bookmarkEnd w:id="108"/>
    <w:p>
      <w:pPr>
        <w:ind w:left="1960" w:right="20"/>
        <w:spacing w:after="0" w:line="258" w:lineRule="auto"/>
        <w:rPr>
          <w:sz w:val="20"/>
          <w:szCs w:val="20"/>
          <w:color w:val="auto"/>
        </w:rPr>
      </w:pPr>
      <w:r>
        <w:rPr>
          <w:rFonts w:ascii="Times New Roman" w:cs="Times New Roman" w:eastAsia="Times New Roman" w:hAnsi="Times New Roman"/>
          <w:sz w:val="22"/>
          <w:szCs w:val="22"/>
          <w:color w:val="auto"/>
        </w:rPr>
        <w:t>Recovery Policy and, if applicable, the Clawback Policy (as such terms are defined in Section 20 hereof); and</w:t>
      </w:r>
    </w:p>
    <w:p>
      <w:pPr>
        <w:spacing w:after="0" w:line="158" w:lineRule="exact"/>
        <w:rPr>
          <w:sz w:val="20"/>
          <w:szCs w:val="20"/>
          <w:color w:val="auto"/>
        </w:rPr>
      </w:pPr>
    </w:p>
    <w:p>
      <w:pPr>
        <w:jc w:val="both"/>
        <w:ind w:left="1960" w:firstLine="743"/>
        <w:spacing w:after="0" w:line="238" w:lineRule="auto"/>
        <w:tabs>
          <w:tab w:leader="none" w:pos="3278"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Awardee consents and agrees that the Company may seek the entry of a restraining order, preliminary injunction or other court order to enforce such provisions and expressly waives any bond or security that might otherwise be required in connection with such relief and that the Company, if successful, shall be entitled to the award of attorney’s fees and expenses incurred in enforcing any of Awardee’s obligations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200" w:firstLine="754"/>
        <w:spacing w:after="0" w:line="235" w:lineRule="auto"/>
        <w:tabs>
          <w:tab w:leader="none" w:pos="224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Awardee also agrees that such remedies shall be in addition and without prejudice to any claim for monetary damages which the Company might elect to assert. Awardee agrees that the terms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are in addition to, and not in limitation of, and in no way supersede or replace any other restrictive covenants agreed to by Awardee with respect to the Company. The provisions of this Agreement do not in any way limit or abridge any rights of the Company under the law of unfair competition, trade secret, copyright, patent, trademark or any other applicable law(s), all of which are in addition to and cumulative of the Company’s rights under this Agreement.</w:t>
      </w:r>
    </w:p>
    <w:p>
      <w:pPr>
        <w:spacing w:after="0" w:line="183" w:lineRule="exact"/>
        <w:rPr>
          <w:rFonts w:ascii="Times New Roman" w:cs="Times New Roman" w:eastAsia="Times New Roman" w:hAnsi="Times New Roman"/>
          <w:sz w:val="22"/>
          <w:szCs w:val="22"/>
          <w:color w:val="auto"/>
        </w:rPr>
      </w:pPr>
    </w:p>
    <w:p>
      <w:pPr>
        <w:ind w:left="1200" w:firstLine="754"/>
        <w:spacing w:after="0" w:line="258" w:lineRule="auto"/>
        <w:tabs>
          <w:tab w:leader="none" w:pos="224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Sections 11-25</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and includes Saia, Inc. and its direct and indirect subsidiaries.</w:t>
      </w:r>
    </w:p>
    <w:p>
      <w:pPr>
        <w:spacing w:after="0" w:line="123" w:lineRule="exact"/>
        <w:rPr>
          <w:rFonts w:ascii="Times New Roman" w:cs="Times New Roman" w:eastAsia="Times New Roman" w:hAnsi="Times New Roman"/>
          <w:sz w:val="22"/>
          <w:szCs w:val="22"/>
          <w:color w:val="auto"/>
        </w:rPr>
      </w:pPr>
    </w:p>
    <w:p>
      <w:pPr>
        <w:jc w:val="both"/>
        <w:ind w:left="-300" w:firstLine="1505"/>
        <w:spacing w:after="0" w:line="265" w:lineRule="exact"/>
        <w:tabs>
          <w:tab w:leader="none" w:pos="17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Neither the Award hereby granted nor any rights thereunder or under this Agreement may be assigned, transferred, mortgaged, pledged or in any manner encumbered by Awardee except by will or the laws of descent and distribution, and any attempted assignment, transfer, mortgage, pledge or encumbrance except as herein authorized, shall be void and of no effect.</w:t>
      </w:r>
    </w:p>
    <w:p>
      <w:pPr>
        <w:spacing w:after="0" w:line="177" w:lineRule="exact"/>
        <w:rPr>
          <w:rFonts w:ascii="Times New Roman" w:cs="Times New Roman" w:eastAsia="Times New Roman" w:hAnsi="Times New Roman"/>
          <w:sz w:val="22"/>
          <w:szCs w:val="22"/>
          <w:color w:val="auto"/>
        </w:rPr>
      </w:pPr>
    </w:p>
    <w:p>
      <w:pPr>
        <w:jc w:val="both"/>
        <w:ind w:left="-300" w:firstLine="1505"/>
        <w:spacing w:after="0" w:line="234" w:lineRule="auto"/>
        <w:tabs>
          <w:tab w:leader="none" w:pos="17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provision of this Agreement or the application of any such provision to any party or circumstances shall be determined by any court of competent jurisdiction to be invalid or unenforceable to any extent, the remainder of this Agreement, or the application of such provision to such person or circumstances other than those to which it is so determined to be invalid or unenforceable, shall not be affected thereby, and each provision hereof shall be enforced to the fullest extent permitted by law. If the final judgment of a court of competent jurisdiction declares that any provision of this Agreement, including, without limitation, any provision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is invalid or unenforceable, the parties hereto agree that the court making the determination of invalidity or unenforceability shall have the power, and is hereby directed, to modify or reduce the scope, duration or area of the provision, to delete specific words or phrases and to replace any invalid or unenforceable provision with a provision that is valid and enforceable and that comes closest to expressing the intention of the invalid or unenforceable provision, and this Agreement shall be enforced as so modified.</w:t>
      </w:r>
    </w:p>
    <w:p>
      <w:pPr>
        <w:spacing w:after="0" w:line="179" w:lineRule="exact"/>
        <w:rPr>
          <w:rFonts w:ascii="Times New Roman" w:cs="Times New Roman" w:eastAsia="Times New Roman" w:hAnsi="Times New Roman"/>
          <w:sz w:val="22"/>
          <w:szCs w:val="22"/>
          <w:color w:val="auto"/>
        </w:rPr>
      </w:pPr>
    </w:p>
    <w:p>
      <w:pPr>
        <w:jc w:val="both"/>
        <w:ind w:left="-300" w:firstLine="1505"/>
        <w:spacing w:after="0" w:line="239" w:lineRule="auto"/>
        <w:tabs>
          <w:tab w:leader="none" w:pos="17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of Rights</w:t>
      </w:r>
      <w:r>
        <w:rPr>
          <w:rFonts w:ascii="Times New Roman" w:cs="Times New Roman" w:eastAsia="Times New Roman" w:hAnsi="Times New Roman"/>
          <w:sz w:val="22"/>
          <w:szCs w:val="22"/>
          <w:color w:val="auto"/>
        </w:rPr>
        <w:t>. The Company’s failure to enforce at any time any of the provisions of this Agreement or to require at any time performance by Awardee of any of the provisions hereof shall in no way be construed to be a waiver of such provisions or to affect either the validity of this Agreement, or any part hereof, or the right of the Company thereafter to enforce each and every provision in accordance with the terms of this Agreement.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109" w:name="page110"/>
    <w:bookmarkEnd w:id="109"/>
    <w:p>
      <w:pPr>
        <w:jc w:val="both"/>
        <w:ind w:left="-300" w:firstLine="1505"/>
        <w:spacing w:after="0" w:line="236" w:lineRule="auto"/>
        <w:tabs>
          <w:tab w:leader="none" w:pos="17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Entire Agreement</w:t>
      </w:r>
      <w:r>
        <w:rPr>
          <w:rFonts w:ascii="Times New Roman" w:cs="Times New Roman" w:eastAsia="Times New Roman" w:hAnsi="Times New Roman"/>
          <w:sz w:val="22"/>
          <w:szCs w:val="22"/>
          <w:color w:val="auto"/>
        </w:rPr>
        <w:t xml:space="preserve">. Except as provided in the Plan and as otherwise expressly set forth herein (including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 no modification, amendment or waiver of any of the provisions of this Agreement shall be effective unless in writing specifically referring hereto, and signed by the parties hereto. This Agreement, except as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above or as this Agreement may conflict with an Executive Severance Agreement between Awardee and the Company (if any), supersedes all prior agreements and understandings between Awardee and the Company to the extent that any such agreements or understandings conflict with the terms of this Agreement.</w:t>
      </w:r>
    </w:p>
    <w:p>
      <w:pPr>
        <w:spacing w:after="0" w:line="181" w:lineRule="exact"/>
        <w:rPr>
          <w:rFonts w:ascii="Times New Roman" w:cs="Times New Roman" w:eastAsia="Times New Roman" w:hAnsi="Times New Roman"/>
          <w:sz w:val="22"/>
          <w:szCs w:val="22"/>
          <w:color w:val="auto"/>
        </w:rPr>
      </w:pPr>
    </w:p>
    <w:p>
      <w:pPr>
        <w:jc w:val="both"/>
        <w:ind w:left="-300" w:firstLine="1505"/>
        <w:spacing w:after="0" w:line="239" w:lineRule="auto"/>
        <w:tabs>
          <w:tab w:leader="none" w:pos="17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the limitations set forth in this Agreement and the Plan, this Agreement shall be binding upon, and inure to the benefit of, the executors, administrators, heirs, legal representatives, successors and permitted assigns of the parties hereto, including, without limitation, any business entity that succeeds to the business of the Company. This Agreement may not be assigned by Awardee without the consent of the Committee.</w:t>
      </w:r>
    </w:p>
    <w:p>
      <w:pPr>
        <w:spacing w:after="0" w:line="180" w:lineRule="exact"/>
        <w:rPr>
          <w:rFonts w:ascii="Times New Roman" w:cs="Times New Roman" w:eastAsia="Times New Roman" w:hAnsi="Times New Roman"/>
          <w:sz w:val="22"/>
          <w:szCs w:val="22"/>
          <w:color w:val="auto"/>
        </w:rPr>
      </w:pPr>
    </w:p>
    <w:p>
      <w:pPr>
        <w:jc w:val="both"/>
        <w:ind w:left="-300" w:firstLine="1505"/>
        <w:spacing w:after="0" w:line="244" w:lineRule="auto"/>
        <w:tabs>
          <w:tab w:leader="none" w:pos="17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Awardee acknowledges that the Board has adopted Stock Ownership Guidelines applicable to certain officers of the Company and such Guidelines may be modified or amended in whole or in part at any time.</w:t>
      </w:r>
    </w:p>
    <w:p>
      <w:pPr>
        <w:spacing w:after="0" w:line="173" w:lineRule="exact"/>
        <w:rPr>
          <w:rFonts w:ascii="Times New Roman" w:cs="Times New Roman" w:eastAsia="Times New Roman" w:hAnsi="Times New Roman"/>
          <w:sz w:val="22"/>
          <w:szCs w:val="22"/>
          <w:color w:val="auto"/>
        </w:rPr>
      </w:pPr>
    </w:p>
    <w:p>
      <w:pPr>
        <w:ind w:left="-300" w:firstLine="1505"/>
        <w:spacing w:after="0" w:line="258" w:lineRule="auto"/>
        <w:tabs>
          <w:tab w:leader="none" w:pos="17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Sections 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as well as any other provision that must survive in order to give proper effect to its intent, shall survive indefinitely.</w:t>
      </w:r>
    </w:p>
    <w:p>
      <w:pPr>
        <w:spacing w:after="0" w:line="158" w:lineRule="exact"/>
        <w:rPr>
          <w:rFonts w:ascii="Times New Roman" w:cs="Times New Roman" w:eastAsia="Times New Roman" w:hAnsi="Times New Roman"/>
          <w:sz w:val="22"/>
          <w:szCs w:val="22"/>
          <w:color w:val="auto"/>
        </w:rPr>
      </w:pPr>
    </w:p>
    <w:p>
      <w:pPr>
        <w:jc w:val="both"/>
        <w:ind w:left="-300" w:firstLine="1505"/>
        <w:spacing w:after="0" w:line="246" w:lineRule="auto"/>
        <w:tabs>
          <w:tab w:leader="none" w:pos="173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Awardee acknowledges and agrees that (a) Awardee and the Award granted hereunder are subject to the terms of the Amended and Restated Saia, Inc. Incentive Compensation Recovery Policy (the “Compensation Recovery Policy”) adopted by the Board on October 26, 2023, (b) if Awardee on the Date of Award or at any other time is included within the classification of employees covered by the terms of the Saia, Inc. Clawback Policy (the “Clawback Policy”), adopted by the Board on October 26, 2023, the Awardee and the Award granted hereunder shall be subject to the terms of such Clawback Policy, and (c) the Awardee and the Award granted hereunder are subject to any additional obligations as may be required by law, including without limitation, Section 304 of the Sarbanes-Oxley Act of 2002. Awardee further acknowledges and agrees that the Board may amend or modify such Incentive Compensation Recovery Policy or Clawback Policy at any time or may adopt a new policy or policies replacing or supplementing either such policies and that any such policy or policies, as so amended, modified, replaced or supplemented, shall be binding on Awardee and the Award granted hereunder.</w:t>
      </w:r>
    </w:p>
    <w:p>
      <w:pPr>
        <w:spacing w:after="0" w:line="170" w:lineRule="exact"/>
        <w:rPr>
          <w:rFonts w:ascii="Times New Roman" w:cs="Times New Roman" w:eastAsia="Times New Roman" w:hAnsi="Times New Roman"/>
          <w:sz w:val="21"/>
          <w:szCs w:val="21"/>
          <w:color w:val="auto"/>
        </w:rPr>
      </w:pPr>
    </w:p>
    <w:p>
      <w:pPr>
        <w:ind w:left="1740" w:hanging="535"/>
        <w:spacing w:after="0"/>
        <w:tabs>
          <w:tab w:leader="none" w:pos="17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Waiver of Jury Trial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60" w:firstLine="745"/>
        <w:spacing w:after="0" w:line="247" w:lineRule="auto"/>
        <w:tabs>
          <w:tab w:leader="none" w:pos="174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and construed in accordance with the laws of the State of Delaware without regard to the principles of conflicts of law which might otherwise apply. The parties hereto irrevocably submit to the jurisdiction of the Delaware Court of Chancery (or, if such court declines to accept jurisdiction, any state or federal court sitting in or for New Castle County, Delaware) with respect to any dispute arising out of or relating to this Agreement, and each party irrevocably agrees that all claims in respect of such dispute or proceeding shall be heard and determined in such courts. The parties hereto hereby irrevocably waive, to the fullest extent permitted by law, any objection which they may now or hereafter have to the venue of any dispute arising out of or relating to this Agreement brought in such court or any defense of inconvenient forum for the maintenance of such dispute or proceeding.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478155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73" w:right="339" w:bottom="1440" w:gutter="0" w:footer="0" w:header="0"/>
        </w:sectPr>
      </w:pPr>
    </w:p>
    <w:bookmarkStart w:id="110" w:name="page111"/>
    <w:bookmarkEnd w:id="110"/>
    <w:p>
      <w:pPr>
        <w:jc w:val="both"/>
        <w:ind w:left="760" w:firstLine="745"/>
        <w:spacing w:after="0" w:line="247" w:lineRule="auto"/>
        <w:tabs>
          <w:tab w:leader="none" w:pos="204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hereto agrees that a judgment in any such dispute may be enforced in other jurisdictions by suit on the judgment or in any other manner provided by law. Each party hereto hereby irrevocably and unconditionally waives, to the fullest extent permitted by law, any right it may have to a trial by jury in respect of any litigation as between the parties directly or indirectly arising out of, under or in connection with this Agreement or the transactions contemplated hereby or disputes relating hereto. Each of the parties hereto (i) certifies that no representative, agent or attorney of the other party has represented, expressly or otherwise, that such other party would not, in the event of litigation, seek to enforce the foregoing waivers and (ii) acknowledges that it and the other parties have been induced to enter into this Agreement by, among other things, the mutual waivers and certifications contained in this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505"/>
        <w:spacing w:after="0" w:line="244"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Defense</w:t>
      </w:r>
      <w:r>
        <w:rPr>
          <w:rFonts w:ascii="Times New Roman" w:cs="Times New Roman" w:eastAsia="Times New Roman" w:hAnsi="Times New Roman"/>
          <w:sz w:val="22"/>
          <w:szCs w:val="22"/>
          <w:color w:val="auto"/>
        </w:rPr>
        <w:t xml:space="preserve">. The existence of any claim, demand, action or cause of action of Awardee against the Company, whether or not based upon this Agreement, will not constitute a defense to the enforcement by the Company of any covenant or agreement of Awardee contained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herein.</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for Changes in Capitalization</w:t>
      </w:r>
      <w:r>
        <w:rPr>
          <w:rFonts w:ascii="Times New Roman" w:cs="Times New Roman" w:eastAsia="Times New Roman" w:hAnsi="Times New Roman"/>
          <w:sz w:val="22"/>
          <w:szCs w:val="22"/>
          <w:color w:val="auto"/>
        </w:rPr>
        <w:t>. In the event the Committee shall determine that any recapitalization, reorganization, merger, consolidation, spin-off, combination, repurchase or share exchange, stock split or stock dividend or other similar corporate transaction or event affects the shares of common stock of the Company such that an adjustment is appropriate in order to prevent dilution or enlargement of the rights of Awardee, then the Committee shall make such adjustments in the number and kind of shares under this Agreement as the Committee shall deem appropriate, and all such adjustments shall be conclusive.</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Savings Clause</w:t>
      </w:r>
      <w:r>
        <w:rPr>
          <w:rFonts w:ascii="Times New Roman" w:cs="Times New Roman" w:eastAsia="Times New Roman" w:hAnsi="Times New Roman"/>
          <w:sz w:val="22"/>
          <w:szCs w:val="22"/>
          <w:color w:val="auto"/>
        </w:rPr>
        <w:t>. For purposes of Internal Revenue Code Section 409A and the regulations and guidance promulgated thereunder, the right to a series of installment payments hereunder shall be treated as a right to a series of separate payments.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New Employer</w:t>
      </w:r>
      <w:r>
        <w:rPr>
          <w:rFonts w:ascii="Times New Roman" w:cs="Times New Roman" w:eastAsia="Times New Roman" w:hAnsi="Times New Roman"/>
          <w:sz w:val="22"/>
          <w:szCs w:val="22"/>
          <w:color w:val="auto"/>
        </w:rPr>
        <w:t>. In the event that Awardee is no longer an employee of the Company, Awardee consents to notification by the Company to Awardee’s new employer or its agents regarding Awardee’s rights and obligations under this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any of which may be executed and transmitted by facsimile or electronically, and each of which shall be deemed to be an original, but all of which together shall be deemed to be one and the same instrument.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11" w:name="page112"/>
    <w:bookmarkEnd w:id="111"/>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and the Awardee has signed this Agreement to evidence the Awardee’s acceptance of the terms hereof,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SAIA, INC.</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7221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4">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color w:val="auto"/>
        </w:rPr>
        <w:t>Anthony R. Norwood,</w:t>
      </w:r>
    </w:p>
    <w:p>
      <w:pPr>
        <w:ind w:left="4780"/>
        <w:spacing w:after="0" w:line="230"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10972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Kelly W. Benton,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587375</wp:posOffset>
            </wp:positionV>
            <wp:extent cx="19202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60" w:hanging="859"/>
        <w:spacing w:after="0"/>
        <w:tabs>
          <w:tab w:leader="none" w:pos="53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Awarde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5029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7">
                      <a:extLst>
                        <a:ext uri="{28A0092B-C50C-407E-A947-70E740481C1C}"/>
                      </a:extLst>
                    </a:blip>
                    <a:srcRect/>
                    <a:stretch>
                      <a:fillRect/>
                    </a:stretch>
                  </pic:blipFill>
                  <pic:spPr bwMode="auto">
                    <a:xfrm>
                      <a:off x="0" y="0"/>
                      <a:ext cx="502920" cy="8890"/>
                    </a:xfrm>
                    <a:prstGeom prst="rect">
                      <a:avLst/>
                    </a:prstGeom>
                    <a:noFill/>
                  </pic:spPr>
                </pic:pic>
              </a:graphicData>
            </a:graphic>
          </wp:anchor>
        </w:drawing>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LIST OF SUBSIDIARIES OF REGISTRANT</w:t>
            </w:r>
          </w:p>
        </w:tc>
      </w:tr>
      <w:tr>
        <w:trPr>
          <w:trHeight w:val="60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000" w:type="dxa"/>
            <w:vAlign w:val="bottom"/>
          </w:tcPr>
          <w:p>
            <w:pPr>
              <w:spacing w:after="0"/>
              <w:rPr>
                <w:sz w:val="24"/>
                <w:szCs w:val="24"/>
                <w:color w:val="auto"/>
              </w:rPr>
            </w:pPr>
          </w:p>
        </w:tc>
        <w:tc>
          <w:tcPr>
            <w:tcW w:w="3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0"/>
        </w:trPr>
        <w:tc>
          <w:tcPr>
            <w:tcW w:w="15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Saia Motor Freight Line, LLC</w:t>
            </w:r>
          </w:p>
        </w:tc>
        <w:tc>
          <w:tcPr>
            <w:tcW w:w="5000" w:type="dxa"/>
            <w:vAlign w:val="bottom"/>
          </w:tcPr>
          <w:p>
            <w:pPr>
              <w:spacing w:after="0"/>
              <w:rPr>
                <w:sz w:val="24"/>
                <w:szCs w:val="24"/>
                <w:color w:val="auto"/>
              </w:rPr>
            </w:pPr>
          </w:p>
        </w:tc>
        <w:tc>
          <w:tcPr>
            <w:tcW w:w="32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Louisiana</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Saia TL Plus, LLC</w:t>
            </w:r>
          </w:p>
        </w:tc>
        <w:tc>
          <w:tcPr>
            <w:tcW w:w="5000" w:type="dxa"/>
            <w:vAlign w:val="bottom"/>
          </w:tcPr>
          <w:p>
            <w:pPr>
              <w:spacing w:after="0"/>
              <w:rPr>
                <w:sz w:val="18"/>
                <w:szCs w:val="18"/>
                <w:color w:val="auto"/>
              </w:rPr>
            </w:pPr>
          </w:p>
        </w:tc>
        <w:tc>
          <w:tcPr>
            <w:tcW w:w="3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Saia Logistics Services, LLC</w:t>
            </w:r>
          </w:p>
        </w:tc>
        <w:tc>
          <w:tcPr>
            <w:tcW w:w="5000" w:type="dxa"/>
            <w:vAlign w:val="bottom"/>
          </w:tcPr>
          <w:p>
            <w:pPr>
              <w:spacing w:after="0"/>
              <w:rPr>
                <w:sz w:val="18"/>
                <w:szCs w:val="18"/>
                <w:color w:val="auto"/>
              </w:rPr>
            </w:pPr>
          </w:p>
        </w:tc>
        <w:tc>
          <w:tcPr>
            <w:tcW w:w="32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Saia Sales, LLC</w:t>
            </w:r>
          </w:p>
        </w:tc>
        <w:tc>
          <w:tcPr>
            <w:tcW w:w="5000" w:type="dxa"/>
            <w:vAlign w:val="bottom"/>
          </w:tcPr>
          <w:p>
            <w:pPr>
              <w:spacing w:after="0"/>
              <w:rPr>
                <w:sz w:val="18"/>
                <w:szCs w:val="18"/>
                <w:color w:val="auto"/>
              </w:rPr>
            </w:pPr>
          </w:p>
        </w:tc>
        <w:tc>
          <w:tcPr>
            <w:tcW w:w="32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LinkEx, Inc.</w:t>
            </w:r>
          </w:p>
        </w:tc>
        <w:tc>
          <w:tcPr>
            <w:tcW w:w="5000" w:type="dxa"/>
            <w:vAlign w:val="bottom"/>
          </w:tcPr>
          <w:p>
            <w:pPr>
              <w:spacing w:after="0"/>
              <w:rPr>
                <w:sz w:val="20"/>
                <w:szCs w:val="20"/>
                <w:color w:val="auto"/>
              </w:rPr>
            </w:pPr>
          </w:p>
        </w:tc>
        <w:tc>
          <w:tcPr>
            <w:tcW w:w="32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Texas</w:t>
            </w:r>
          </w:p>
        </w:tc>
      </w:tr>
      <w:tr>
        <w:trPr>
          <w:trHeight w:val="2059"/>
        </w:trPr>
        <w:tc>
          <w:tcPr>
            <w:tcW w:w="1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333-224615, 333-211025, 333-188169, 333-173852, 333-155805, 333-104929, and 333-103661) on Form S-8 of our reports dated February 24, 2026, with respect to the consolidated financial statements of Saia, Inc. and the effectiveness of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Frederick J. Holzgrefe, certify that:</w:t>
      </w:r>
    </w:p>
    <w:p>
      <w:pPr>
        <w:spacing w:after="0" w:line="117"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Saia, Inc.;</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52" w:lineRule="exact"/>
        <w:rPr>
          <w:sz w:val="20"/>
          <w:szCs w:val="20"/>
          <w:color w:val="auto"/>
        </w:rPr>
      </w:pPr>
    </w:p>
    <w:p>
      <w:pPr>
        <w:ind w:left="6760"/>
        <w:spacing w:after="0"/>
        <w:tabs>
          <w:tab w:leader="none" w:pos="7140" w:val="left"/>
        </w:tabs>
        <w:rPr>
          <w:sz w:val="20"/>
          <w:szCs w:val="20"/>
          <w:color w:val="auto"/>
        </w:rPr>
      </w:pPr>
      <w:r>
        <w:rPr>
          <w:rFonts w:ascii="Times New Roman" w:cs="Times New Roman" w:eastAsia="Times New Roman" w:hAnsi="Times New Roman"/>
          <w:sz w:val="18"/>
          <w:szCs w:val="18"/>
          <w:color w:val="auto"/>
        </w:rPr>
        <w:t>/s/ </w:t>
      </w:r>
      <w:r>
        <w:rPr>
          <w:sz w:val="20"/>
          <w:szCs w:val="20"/>
          <w:color w:val="auto"/>
        </w:rPr>
        <w:tab/>
      </w:r>
      <w:r>
        <w:rPr>
          <w:rFonts w:ascii="Times New Roman" w:cs="Times New Roman" w:eastAsia="Times New Roman" w:hAnsi="Times New Roman"/>
          <w:sz w:val="17"/>
          <w:szCs w:val="17"/>
          <w:color w:val="auto"/>
        </w:rPr>
        <w:t>Frederick J. Holzgrefe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Frederick J. Holzgrefe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Matthew J. Batteh, certify that:</w:t>
      </w:r>
    </w:p>
    <w:p>
      <w:pPr>
        <w:spacing w:after="0" w:line="11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Saia, Inc.;</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Matthew J. Batteh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J. Batteh</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Saia, Inc. (the “Company”) on Form 10-K for the period ending December 31, 2025 as filed with the Securities and Exchange Commission on the date hereof (the “Report”), I, Frederick J. Holzgrefe, President and Chief Executive Officer of the Company,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Frederick J. Holzgrefe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Frederick J. Holzgrefe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Saia,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Saia, Inc. and will be retained by Saia,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Saia, Inc. (the “Company”) on Form 10-K for the period ending December 31, 2025 as filed with the Securities and Exchange Commission on the date hereof (the “Report”), I, Matthew J. Batteh, Executive Vice President and Chief Financial Officer of the Company,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Matthew J. Batteh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J. Batteh</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Saia,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Saia, Inc. and will be retained by Saia,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SAIA,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752"/>
        <w:spacing w:after="0"/>
        <w:tabs>
          <w:tab w:leader="none" w:pos="7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accordance with the applicable rules of The Nasdaq Stock Market (the “</w:t>
      </w:r>
      <w:r>
        <w:rPr>
          <w:rFonts w:ascii="Times New Roman" w:cs="Times New Roman" w:eastAsia="Times New Roman" w:hAnsi="Times New Roman"/>
          <w:sz w:val="22"/>
          <w:szCs w:val="22"/>
          <w:u w:val="single" w:color="auto"/>
          <w:color w:val="auto"/>
        </w:rPr>
        <w:t>Nasdaq Rules</w:t>
      </w:r>
      <w:r>
        <w:rPr>
          <w:rFonts w:ascii="Times New Roman" w:cs="Times New Roman" w:eastAsia="Times New Roman" w:hAnsi="Times New Roman"/>
          <w:sz w:val="22"/>
          <w:szCs w:val="22"/>
          <w:color w:val="auto"/>
        </w:rPr>
        <w:t>”), Section 10D and Rule 10D-1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Rule 10D-1</w:t>
      </w:r>
      <w:r>
        <w:rPr>
          <w:rFonts w:ascii="Times New Roman" w:cs="Times New Roman" w:eastAsia="Times New Roman" w:hAnsi="Times New Roman"/>
          <w:sz w:val="22"/>
          <w:szCs w:val="22"/>
          <w:color w:val="auto"/>
        </w:rPr>
        <w:t>”),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Saia,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xml:space="preserve">”) to provide for the recovery of erroneously awarded Incentive-based Compensation from Executive Officers. All capitalized terms used and not otherwise defined herein shall have the meanings set forth in </w:t>
      </w:r>
      <w:r>
        <w:rPr>
          <w:rFonts w:ascii="Times New Roman" w:cs="Times New Roman" w:eastAsia="Times New Roman" w:hAnsi="Times New Roman"/>
          <w:sz w:val="22"/>
          <w:szCs w:val="22"/>
          <w:u w:val="single" w:color="auto"/>
          <w:color w:val="auto"/>
        </w:rPr>
        <w:t>Section H</w:t>
      </w:r>
      <w:r>
        <w:rPr>
          <w:rFonts w:ascii="Times New Roman" w:cs="Times New Roman" w:eastAsia="Times New Roman" w:hAnsi="Times New Roman"/>
          <w:sz w:val="22"/>
          <w:szCs w:val="22"/>
          <w:color w:val="auto"/>
        </w:rPr>
        <w:t>, below.</w:t>
      </w:r>
    </w:p>
    <w:p>
      <w:pPr>
        <w:spacing w:after="0" w:line="173" w:lineRule="exact"/>
        <w:rPr>
          <w:sz w:val="20"/>
          <w:szCs w:val="20"/>
          <w:color w:val="auto"/>
        </w:rPr>
      </w:pPr>
    </w:p>
    <w:p>
      <w:pPr>
        <w:ind w:left="760" w:hanging="752"/>
        <w:spacing w:after="0"/>
        <w:tabs>
          <w:tab w:leader="none" w:pos="7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OF ERRONEOUSLY AWARDED COMPENSATION</w:t>
      </w:r>
    </w:p>
    <w:p>
      <w:pPr>
        <w:spacing w:after="0" w:line="210"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01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Accounting Restatement, the Company will reasonably promptly recover the Erroneously Awarded Compensation Received in accordance with Nasdaq Rules and Rule 10D-1 as follows:</w:t>
      </w:r>
    </w:p>
    <w:p>
      <w:pPr>
        <w:spacing w:after="0" w:line="158" w:lineRule="exact"/>
        <w:rPr>
          <w:sz w:val="20"/>
          <w:szCs w:val="20"/>
          <w:color w:val="auto"/>
        </w:rPr>
      </w:pPr>
    </w:p>
    <w:p>
      <w:pPr>
        <w:jc w:val="both"/>
        <w:ind w:left="1500" w:hanging="743"/>
        <w:spacing w:after="0" w:line="236" w:lineRule="auto"/>
        <w:tabs>
          <w:tab w:leader="none" w:pos="15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 Accounting Restatement, the Compensation Committee (if composed entirely of independent directors, or in the absence of such a committee, a majority of independent directors serving on the Board)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determine the amount of any Erroneously Awarded Compensation Received by each Executive Officer and shall promptly notify each Executive Officer with a written notice stating the amount of any Erroneously Awarded Compensation and a demand for repayment or return of such compensation, as applicable.</w:t>
      </w:r>
    </w:p>
    <w:p>
      <w:pPr>
        <w:spacing w:after="0" w:line="181" w:lineRule="exact"/>
        <w:rPr>
          <w:rFonts w:ascii="Times New Roman" w:cs="Times New Roman" w:eastAsia="Times New Roman" w:hAnsi="Times New Roman"/>
          <w:sz w:val="22"/>
          <w:szCs w:val="22"/>
          <w:color w:val="auto"/>
        </w:rPr>
      </w:pPr>
    </w:p>
    <w:p>
      <w:pPr>
        <w:jc w:val="both"/>
        <w:ind w:left="1880" w:hanging="375"/>
        <w:spacing w:after="0" w:line="244" w:lineRule="auto"/>
        <w:tabs>
          <w:tab w:leader="none" w:pos="18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spacing w:after="0" w:line="173" w:lineRule="exact"/>
        <w:rPr>
          <w:rFonts w:ascii="Times New Roman" w:cs="Times New Roman" w:eastAsia="Times New Roman" w:hAnsi="Times New Roman"/>
          <w:sz w:val="22"/>
          <w:szCs w:val="22"/>
          <w:color w:val="auto"/>
        </w:rPr>
      </w:pPr>
    </w:p>
    <w:p>
      <w:pPr>
        <w:jc w:val="both"/>
        <w:ind w:left="2260" w:hanging="380"/>
        <w:spacing w:after="0" w:line="244" w:lineRule="auto"/>
        <w:tabs>
          <w:tab w:leader="none" w:pos="226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173" w:lineRule="exact"/>
        <w:rPr>
          <w:rFonts w:ascii="Times New Roman" w:cs="Times New Roman" w:eastAsia="Times New Roman" w:hAnsi="Times New Roman"/>
          <w:sz w:val="22"/>
          <w:szCs w:val="22"/>
          <w:color w:val="auto"/>
        </w:rPr>
      </w:pPr>
    </w:p>
    <w:p>
      <w:pPr>
        <w:ind w:left="2260" w:hanging="380"/>
        <w:spacing w:after="0" w:line="258" w:lineRule="auto"/>
        <w:tabs>
          <w:tab w:leader="none" w:pos="226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documentation of the determination of such reasonable estimate and provide the relevant documentation as required to Nasdaq.</w:t>
      </w:r>
    </w:p>
    <w:p>
      <w:pPr>
        <w:spacing w:after="0" w:line="158" w:lineRule="exact"/>
        <w:rPr>
          <w:sz w:val="20"/>
          <w:szCs w:val="20"/>
          <w:color w:val="auto"/>
        </w:rPr>
      </w:pPr>
    </w:p>
    <w:p>
      <w:pPr>
        <w:jc w:val="both"/>
        <w:ind w:left="1500" w:hanging="743"/>
        <w:spacing w:after="0" w:line="239" w:lineRule="auto"/>
        <w:tabs>
          <w:tab w:leader="none" w:pos="1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Committee shall have discretion to determine the appropriate means of recovering Erroneously Awarded Compensation based on the particular facts and circumstances. Notwithstanding the foregoing, except as set forth in </w:t>
      </w:r>
      <w:r>
        <w:rPr>
          <w:rFonts w:ascii="Times New Roman" w:cs="Times New Roman" w:eastAsia="Times New Roman" w:hAnsi="Times New Roman"/>
          <w:sz w:val="22"/>
          <w:szCs w:val="22"/>
          <w:u w:val="single" w:color="auto"/>
          <w:color w:val="auto"/>
        </w:rPr>
        <w:t>Section B(2)</w:t>
      </w:r>
      <w:r>
        <w:rPr>
          <w:rFonts w:ascii="Times New Roman" w:cs="Times New Roman" w:eastAsia="Times New Roman" w:hAnsi="Times New Roman"/>
          <w:sz w:val="22"/>
          <w:szCs w:val="22"/>
          <w:color w:val="auto"/>
        </w:rPr>
        <w:t xml:space="preserve"> below, in no event may the Company accept an amount that is less than the amount of Erroneously Awarded Compensation in satisfaction of an Executive Officer’s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5" w:lineRule="exact"/>
        <w:rPr>
          <w:sz w:val="20"/>
          <w:szCs w:val="20"/>
          <w:color w:val="auto"/>
        </w:rPr>
      </w:pPr>
    </w:p>
    <w:p>
      <w:pPr>
        <w:jc w:val="both"/>
        <w:ind w:left="1500" w:hanging="743"/>
        <w:spacing w:after="0" w:line="239" w:lineRule="auto"/>
        <w:tabs>
          <w:tab w:leader="none" w:pos="1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spacing w:after="0" w:line="180" w:lineRule="exact"/>
        <w:rPr>
          <w:rFonts w:ascii="Times New Roman" w:cs="Times New Roman" w:eastAsia="Times New Roman" w:hAnsi="Times New Roman"/>
          <w:sz w:val="22"/>
          <w:szCs w:val="22"/>
          <w:color w:val="auto"/>
        </w:rPr>
      </w:pPr>
    </w:p>
    <w:p>
      <w:pPr>
        <w:jc w:val="both"/>
        <w:ind w:left="1500" w:hanging="743"/>
        <w:spacing w:after="0" w:line="251" w:lineRule="auto"/>
        <w:tabs>
          <w:tab w:leader="none" w:pos="15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68" w:lineRule="exact"/>
        <w:rPr>
          <w:sz w:val="20"/>
          <w:szCs w:val="20"/>
          <w:color w:val="auto"/>
        </w:rPr>
      </w:pPr>
    </w:p>
    <w:p>
      <w:pPr>
        <w:jc w:val="both"/>
        <w:ind w:firstLine="757"/>
        <w:spacing w:after="0" w:line="239"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the Company shall not be required to take the actions contemplated by </w:t>
      </w:r>
      <w:r>
        <w:rPr>
          <w:rFonts w:ascii="Times New Roman" w:cs="Times New Roman" w:eastAsia="Times New Roman" w:hAnsi="Times New Roman"/>
          <w:sz w:val="22"/>
          <w:szCs w:val="22"/>
          <w:u w:val="single" w:color="auto"/>
          <w:color w:val="auto"/>
        </w:rPr>
        <w:t>Section B(1)</w:t>
      </w:r>
      <w:r>
        <w:rPr>
          <w:rFonts w:ascii="Times New Roman" w:cs="Times New Roman" w:eastAsia="Times New Roman" w:hAnsi="Times New Roman"/>
          <w:sz w:val="22"/>
          <w:szCs w:val="22"/>
          <w:color w:val="auto"/>
        </w:rPr>
        <w:t xml:space="preserve"> above if the Committee (which, as specified above, is composed entirely of independent directors or in the absence of such a committee, a majority of the independent directors serving on the Board) determines that recovery would be impracticable and any of the following two conditions are met:</w:t>
      </w:r>
    </w:p>
    <w:p>
      <w:pPr>
        <w:spacing w:after="0" w:line="180" w:lineRule="exact"/>
        <w:rPr>
          <w:sz w:val="20"/>
          <w:szCs w:val="20"/>
          <w:color w:val="auto"/>
        </w:rPr>
      </w:pPr>
    </w:p>
    <w:p>
      <w:pPr>
        <w:jc w:val="both"/>
        <w:ind w:left="1500" w:hanging="743"/>
        <w:spacing w:after="0" w:line="239" w:lineRule="auto"/>
        <w:tabs>
          <w:tab w:leader="none" w:pos="1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Nasdaq; or</w:t>
      </w:r>
    </w:p>
    <w:p>
      <w:pPr>
        <w:spacing w:after="0" w:line="180"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73" w:lineRule="exact"/>
        <w:rPr>
          <w:sz w:val="20"/>
          <w:szCs w:val="20"/>
          <w:color w:val="auto"/>
        </w:rPr>
      </w:pPr>
    </w:p>
    <w:p>
      <w:pPr>
        <w:jc w:val="both"/>
        <w:ind w:firstLine="757"/>
        <w:spacing w:after="0" w:line="239" w:lineRule="auto"/>
        <w:tabs>
          <w:tab w:leader="none" w:pos="101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Executive Officer shall sign and return to the Company within thirty (30) calendar days following the later of (i) the effective date of this Policy set forth below or (ii) the date such individual becomes an Executive Officer, the Attestation and Acknowledgment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pursuant to which the Executive Officer agrees to be subject to and to comply with the terms and conditions of this Policy.</w:t>
      </w:r>
    </w:p>
    <w:p>
      <w:pPr>
        <w:spacing w:after="0" w:line="17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REQUIREMENTS</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file all disclosures with respect to this Policy required by applicable U.S. Securities and Exchange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filings and rules.</w:t>
      </w:r>
    </w:p>
    <w:p>
      <w:pPr>
        <w:spacing w:after="0" w:line="178" w:lineRule="exact"/>
        <w:rPr>
          <w:sz w:val="20"/>
          <w:szCs w:val="20"/>
          <w:color w:val="auto"/>
        </w:rPr>
      </w:pPr>
    </w:p>
    <w:p>
      <w:pPr>
        <w:ind w:left="760" w:hanging="752"/>
        <w:spacing w:after="0"/>
        <w:tabs>
          <w:tab w:leader="none" w:pos="7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PROHIBITION OF INDEMNIFICATION</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Policy or that waives the Company’s right to recovery of any Erroneously Awarded Compensation, and this Policy shall supersede any such agreement (whether entered into before, on or after the Effective Date of this Policy).</w:t>
      </w:r>
    </w:p>
    <w:p>
      <w:pPr>
        <w:spacing w:after="0" w:line="154" w:lineRule="exact"/>
        <w:rPr>
          <w:sz w:val="20"/>
          <w:szCs w:val="20"/>
          <w:color w:val="auto"/>
        </w:rPr>
      </w:pPr>
    </w:p>
    <w:p>
      <w:pPr>
        <w:ind w:left="760" w:hanging="752"/>
        <w:spacing w:after="0"/>
        <w:tabs>
          <w:tab w:leader="none" w:pos="7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AND INTERPRETATION</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Policy shall be administered by the Committee, and any determinations made by the Committee shall be final and binding on all affected individuals.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Committee is authorized to interpret and construe this Policy and to make all determinations 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spacing w:after="0" w:line="176" w:lineRule="exact"/>
        <w:rPr>
          <w:sz w:val="20"/>
          <w:szCs w:val="20"/>
          <w:color w:val="auto"/>
        </w:rPr>
      </w:pPr>
    </w:p>
    <w:p>
      <w:pPr>
        <w:ind w:left="760" w:hanging="752"/>
        <w:spacing w:after="0"/>
        <w:tabs>
          <w:tab w:leader="none" w:pos="7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TERMINATION</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Committee may amend this Policy from time to time in its discretion and shall amend this Policy as it deems necessary. Notwithstanding anything in this </w:t>
      </w:r>
      <w:r>
        <w:rPr>
          <w:rFonts w:ascii="Times New Roman" w:cs="Times New Roman" w:eastAsia="Times New Roman" w:hAnsi="Times New Roman"/>
          <w:sz w:val="22"/>
          <w:szCs w:val="22"/>
          <w:u w:val="single" w:color="auto"/>
          <w:color w:val="auto"/>
        </w:rPr>
        <w:t>Section F</w:t>
      </w:r>
      <w:r>
        <w:rPr>
          <w:rFonts w:ascii="Times New Roman" w:cs="Times New Roman" w:eastAsia="Times New Roman" w:hAnsi="Times New Roman"/>
          <w:sz w:val="22"/>
          <w:szCs w:val="22"/>
          <w:color w:val="auto"/>
        </w:rPr>
        <w:t xml:space="preserve">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spacing w:after="0" w:line="173" w:lineRule="exact"/>
        <w:rPr>
          <w:sz w:val="20"/>
          <w:szCs w:val="20"/>
          <w:color w:val="auto"/>
        </w:rPr>
      </w:pPr>
    </w:p>
    <w:p>
      <w:pPr>
        <w:ind w:left="760" w:hanging="752"/>
        <w:spacing w:after="0"/>
        <w:tabs>
          <w:tab w:leader="none" w:pos="7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RECOVERY RIGHTS</w:t>
      </w:r>
    </w:p>
    <w:p>
      <w:pPr>
        <w:spacing w:after="0" w:line="21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168" w:lineRule="exact"/>
        <w:rPr>
          <w:sz w:val="20"/>
          <w:szCs w:val="20"/>
          <w:color w:val="auto"/>
        </w:rPr>
      </w:pPr>
    </w:p>
    <w:p>
      <w:pPr>
        <w:ind w:left="760" w:hanging="752"/>
        <w:spacing w:after="0"/>
        <w:tabs>
          <w:tab w:leader="none" w:pos="7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Policy, the following capitalized terms shall have the meanings set forth below.</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line="261" w:lineRule="auto"/>
        <w:tabs>
          <w:tab w:leader="none" w:pos="101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w:t>
      </w:r>
      <w:r>
        <w:rPr>
          <w:rFonts w:ascii="Times New Roman" w:cs="Times New Roman" w:eastAsia="Times New Roman" w:hAnsi="Times New Roman"/>
          <w:sz w:val="21"/>
          <w:szCs w:val="21"/>
          <w:u w:val="single" w:color="auto"/>
          <w:color w:val="auto"/>
        </w:rPr>
        <w:t>Big R</w:t>
      </w:r>
      <w:r>
        <w:rPr>
          <w:rFonts w:ascii="Times New Roman" w:cs="Times New Roman" w:eastAsia="Times New Roman" w:hAnsi="Times New Roman"/>
          <w:sz w:val="21"/>
          <w:szCs w:val="21"/>
          <w:color w:val="auto"/>
        </w:rPr>
        <w:t>” restatement),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that would result in a material misstatement if the error were corrected in the current period or left uncorrected in the current period (a “little r” restatement).</w:t>
      </w:r>
    </w:p>
    <w:p>
      <w:pPr>
        <w:spacing w:after="0" w:line="158" w:lineRule="exact"/>
        <w:rPr>
          <w:sz w:val="20"/>
          <w:szCs w:val="20"/>
          <w:color w:val="auto"/>
        </w:rPr>
      </w:pPr>
    </w:p>
    <w:p>
      <w:pPr>
        <w:jc w:val="both"/>
        <w:ind w:firstLine="757"/>
        <w:spacing w:after="0" w:line="236"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Clawback Eligible Incentive Compensation</w:t>
      </w:r>
      <w:r>
        <w:rPr>
          <w:rFonts w:ascii="Times New Roman" w:cs="Times New Roman" w:eastAsia="Times New Roman" w:hAnsi="Times New Roman"/>
          <w:sz w:val="22"/>
          <w:szCs w:val="22"/>
          <w:color w:val="auto"/>
        </w:rPr>
        <w:t>” means all Incentive-based Compensation Received by an Executive Officer (i) on or after the effective date of the applicable Nasdaq rules, (ii) after beginning service as an Executive Officer, (iii) who served as an Executive Officer at any time during the applicable performance period relating to any Incentive-based Compensation (whether or not such Executive Officer is serving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Clawback Period</w:t>
      </w:r>
      <w:r>
        <w:rPr>
          <w:rFonts w:ascii="Times New Roman" w:cs="Times New Roman" w:eastAsia="Times New Roman" w:hAnsi="Times New Roman"/>
          <w:sz w:val="22"/>
          <w:szCs w:val="22"/>
          <w:color w:val="auto"/>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or Item 6.A of Form 20-F, as applicable, as well as the principal financial officer and principal accounting officer (or, if there is no principal accounting officer, the controller).</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Stock Market.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award is attained, even if the payment or grant of the Incentive-based Compensation to the Executive Officer occurs after the end of that period.</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as of 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ATTESTATION AND ACKNOWLEDGEMENT OF POLICY FOR THE RECOVERY OF ERRONEOUSLY</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AWARDED COMPENSATION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my signature below, I acknowledge and agree that:</w:t>
      </w:r>
    </w:p>
    <w:p>
      <w:pPr>
        <w:spacing w:after="0" w:line="206" w:lineRule="exact"/>
        <w:rPr>
          <w:sz w:val="20"/>
          <w:szCs w:val="20"/>
          <w:color w:val="auto"/>
        </w:rPr>
      </w:pPr>
    </w:p>
    <w:p>
      <w:pPr>
        <w:ind w:left="760" w:hanging="378"/>
        <w:spacing w:after="0"/>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received and read the attached Saia, Inc. Clawback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and will continue to be subject to the Policy.</w:t>
      </w:r>
    </w:p>
    <w:p>
      <w:pPr>
        <w:spacing w:after="0" w:line="206"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agree to comply with all of the terms and conditions of this Policy both during and after my employment with the Company, including, without limitation, by promptly repaying or returning any Erroneously Awarded Compensation to the Company as determined in accordance with this Policy.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-13970</wp:posOffset>
            </wp:positionV>
            <wp:extent cx="15963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5">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16383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6">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-13970</wp:posOffset>
            </wp:positionV>
            <wp:extent cx="10401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8">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lvl w:ilvl="1">
      <w:lvlJc w:val="left"/>
      <w:lvlText w:val="o"/>
      <w:numFmt w:val="bullet"/>
      <w:start w:val="1"/>
    </w:lvl>
  </w:abstractNum>
  <w:abstractNum w:abstractNumId="11">
    <w:nsid w:val="749ABB43"/>
    <w:multiLevelType w:val="hybridMultilevel"/>
    <w:lvl w:ilvl="0">
      <w:lvlJc w:val="left"/>
      <w:lvlText w:val="o"/>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decimal"/>
      <w:start w:val="1"/>
    </w:lvl>
    <w:lvl w:ilvl="1">
      <w:lvlJc w:val="left"/>
      <w:lvlText w:val="(%2)"/>
      <w:numFmt w:val="lowerLetter"/>
      <w:start w:val="1"/>
    </w:lvl>
  </w:abstractNum>
  <w:abstractNum w:abstractNumId="14">
    <w:nsid w:val="79A1DEAA"/>
    <w:multiLevelType w:val="hybridMultilevel"/>
    <w:lvl w:ilvl="0">
      <w:lvlJc w:val="left"/>
      <w:lvlText w:val="%1."/>
      <w:numFmt w:val="decimal"/>
      <w:start w:val="2"/>
    </w:lvl>
    <w:lvl w:ilvl="1">
      <w:lvlJc w:val="left"/>
      <w:lvlText w:val="%2"/>
      <w:numFmt w:val="lowerLetter"/>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decimal"/>
      <w:start w:val="97"/>
    </w:lvl>
  </w:abstractNum>
  <w:abstractNum w:abstractNumId="18">
    <w:nsid w:val="520EEDD1"/>
    <w:multiLevelType w:val="hybridMultilevel"/>
    <w:lvl w:ilvl="0">
      <w:lvlJc w:val="left"/>
      <w:lvlText w:val="%1"/>
      <w:numFmt w:val="decimal"/>
      <w:start w:val="101"/>
    </w:lvl>
  </w:abstractNum>
  <w:abstractNum w:abstractNumId="19">
    <w:nsid w:val="374A3FE6"/>
    <w:multiLevelType w:val="hybridMultilevel"/>
    <w:lvl w:ilvl="0">
      <w:lvlJc w:val="left"/>
      <w:lvlText w:val="%1"/>
      <w:numFmt w:val="decimal"/>
      <w:start w:val="104"/>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2"/>
    </w:lvl>
  </w:abstractNum>
  <w:abstractNum w:abstractNumId="23">
    <w:nsid w:val="275AC794"/>
    <w:multiLevelType w:val="hybridMultilevel"/>
    <w:lvl w:ilvl="0">
      <w:lvlJc w:val="left"/>
      <w:lvlText w:val="(%1)"/>
      <w:numFmt w:val="decimal"/>
      <w:start w:val="10"/>
    </w:lvl>
    <w:lvl w:ilvl="1">
      <w:lvlJc w:val="left"/>
      <w:lvlText w:val="%2."/>
      <w:numFmt w:val="decimal"/>
      <w:start w:val="5"/>
    </w:lvl>
  </w:abstractNum>
  <w:abstractNum w:abstractNumId="24">
    <w:nsid w:val="39386575"/>
    <w:multiLevelType w:val="hybridMultilevel"/>
    <w:lvl w:ilvl="0">
      <w:lvlJc w:val="left"/>
      <w:lvlText w:val="(%1)"/>
      <w:numFmt w:val="lowerRoman"/>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lowerLetter"/>
      <w:start w:val="1"/>
    </w:lvl>
    <w:lvl w:ilvl="1">
      <w:lvlJc w:val="left"/>
      <w:lvlText w:val="(%2)"/>
      <w:numFmt w:val="lowerLetter"/>
      <w:start w:val="9"/>
    </w:lvl>
  </w:abstractNum>
  <w:abstractNum w:abstractNumId="27">
    <w:nsid w:val="235BA861"/>
    <w:multiLevelType w:val="hybridMultilevel"/>
    <w:lvl w:ilvl="0">
      <w:lvlJc w:val="left"/>
      <w:lvlText w:val="(%1)"/>
      <w:numFmt w:val="lowerRoman"/>
      <w:start w:val="2"/>
    </w:lvl>
  </w:abstractNum>
  <w:abstractNum w:abstractNumId="28">
    <w:nsid w:val="47398C89"/>
    <w:multiLevelType w:val="hybridMultilevel"/>
    <w:lvl w:ilvl="0">
      <w:lvlJc w:val="left"/>
      <w:lvlText w:val="(%1)"/>
      <w:numFmt w:val="lowerLetter"/>
      <w:start w:val="3"/>
    </w:lvl>
  </w:abstractNum>
  <w:abstractNum w:abstractNumId="29">
    <w:nsid w:val="354FE9F9"/>
    <w:multiLevelType w:val="hybridMultilevel"/>
    <w:lvl w:ilvl="0">
      <w:lvlJc w:val="left"/>
      <w:lvlText w:val="%1."/>
      <w:numFmt w:val="decimal"/>
      <w:start w:val="5"/>
    </w:lvl>
  </w:abstractNum>
  <w:abstractNum w:abstractNumId="30">
    <w:nsid w:val="15B5AF5C"/>
    <w:multiLevelType w:val="hybridMultilevel"/>
    <w:lvl w:ilvl="0">
      <w:lvlJc w:val="left"/>
      <w:lvlText w:val="(%1)"/>
      <w:numFmt w:val="lowerLetter"/>
      <w:start w:val="1"/>
    </w:lvl>
  </w:abstractNum>
  <w:abstractNum w:abstractNumId="31">
    <w:nsid w:val="741226BB"/>
    <w:multiLevelType w:val="hybridMultilevel"/>
    <w:lvl w:ilvl="0">
      <w:lvlJc w:val="left"/>
      <w:lvlText w:val="%1."/>
      <w:numFmt w:val="decimal"/>
      <w:start w:val="6"/>
    </w:lvl>
  </w:abstractNum>
  <w:abstractNum w:abstractNumId="32">
    <w:nsid w:val="D34B6A8"/>
    <w:multiLevelType w:val="hybridMultilevel"/>
    <w:lvl w:ilvl="0">
      <w:lvlJc w:val="left"/>
      <w:lvlText w:val="%1."/>
      <w:numFmt w:val="decimal"/>
      <w:start w:val="7"/>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decimal"/>
      <w:start w:val="8"/>
    </w:lvl>
  </w:abstractNum>
  <w:abstractNum w:abstractNumId="35">
    <w:nsid w:val="61574095"/>
    <w:multiLevelType w:val="hybridMultilevel"/>
    <w:lvl w:ilvl="0">
      <w:lvlJc w:val="left"/>
      <w:lvlText w:val="%1."/>
      <w:numFmt w:val="decimal"/>
      <w:start w:val="9"/>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decimal"/>
      <w:start w:val="10"/>
    </w:lvl>
  </w:abstractNum>
  <w:abstractNum w:abstractNumId="38">
    <w:nsid w:val="579BE4F1"/>
    <w:multiLevelType w:val="hybridMultilevel"/>
    <w:lvl w:ilvl="0">
      <w:lvlJc w:val="left"/>
      <w:lvlText w:val="%1."/>
      <w:numFmt w:val="decimal"/>
      <w:start w:val="13"/>
    </w:lvl>
  </w:abstractNum>
  <w:abstractNum w:abstractNumId="39">
    <w:nsid w:val="310C50B3"/>
    <w:multiLevelType w:val="hybridMultilevel"/>
    <w:lvl w:ilvl="0">
      <w:lvlJc w:val="left"/>
      <w:lvlText w:val="(%1)"/>
      <w:numFmt w:val="lowerLetter"/>
      <w:start w:val="1"/>
    </w:lvl>
  </w:abstractNum>
  <w:abstractNum w:abstractNumId="40">
    <w:nsid w:val="5FF87E05"/>
    <w:multiLevelType w:val="hybridMultilevel"/>
    <w:lvl w:ilvl="0">
      <w:lvlJc w:val="left"/>
      <w:lvlText w:val="%1."/>
      <w:numFmt w:val="decimal"/>
      <w:start w:val="18"/>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4"/>
    </w:lvl>
    <w:lvl w:ilvl="1">
      <w:lvlJc w:val="left"/>
      <w:lvlText w:val="(%2)"/>
      <w:numFmt w:val="lowerLetter"/>
      <w:start w:val="1"/>
    </w:lvl>
  </w:abstractNum>
  <w:abstractNum w:abstractNumId="43">
    <w:nsid w:val="1DBABF00"/>
    <w:multiLevelType w:val="hybridMultilevel"/>
    <w:lvl w:ilvl="0">
      <w:lvlJc w:val="left"/>
      <w:lvlText w:val="%1."/>
      <w:numFmt w:val="decimal"/>
      <w:start w:val="8"/>
    </w:lvl>
  </w:abstractNum>
  <w:abstractNum w:abstractNumId="44">
    <w:nsid w:val="4AD084E9"/>
    <w:multiLevelType w:val="hybridMultilevel"/>
    <w:lvl w:ilvl="0">
      <w:lvlJc w:val="left"/>
      <w:lvlText w:val="%1."/>
      <w:numFmt w:val="decimal"/>
      <w:start w:val="14"/>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1."/>
      <w:numFmt w:val="decimal"/>
      <w:start w:val="19"/>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4"/>
    </w:lvl>
    <w:lvl w:ilvl="1">
      <w:lvlJc w:val="left"/>
      <w:lvlText w:val="(%2)"/>
      <w:numFmt w:val="lowerLetter"/>
      <w:start w:val="1"/>
    </w:lvl>
  </w:abstractNum>
  <w:abstractNum w:abstractNumId="49">
    <w:nsid w:val="659070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0">
    <w:nsid w:val="15014ACB"/>
    <w:multiLevelType w:val="hybridMultilevel"/>
    <w:lvl w:ilvl="0">
      <w:lvlJc w:val="left"/>
      <w:lvlText w:val="(%1)"/>
      <w:numFmt w:val="lowerRoman"/>
      <w:start w:val="3"/>
    </w:lvl>
  </w:abstractNum>
  <w:abstractNum w:abstractNumId="51">
    <w:nsid w:val="5F5E7FD0"/>
    <w:multiLevelType w:val="hybridMultilevel"/>
    <w:lvl w:ilvl="0">
      <w:lvlJc w:val="left"/>
      <w:lvlText w:val="…."/>
      <w:numFmt w:val="bullet"/>
      <w:start w:val="1"/>
    </w:lvl>
    <w:lvl w:ilvl="1">
      <w:lvlJc w:val="left"/>
      <w:lvlText w:val="(%2)"/>
      <w:numFmt w:val="lowerRoman"/>
      <w:start w:val="4"/>
    </w:lvl>
  </w:abstractNum>
  <w:abstractNum w:abstractNumId="52">
    <w:nsid w:val="98A3148"/>
    <w:multiLevelType w:val="hybridMultilevel"/>
    <w:lvl w:ilvl="0">
      <w:lvlJc w:val="left"/>
      <w:lvlText w:val="(%1)"/>
      <w:numFmt w:val="lowerLetter"/>
      <w:start w:val="2"/>
    </w:lvl>
    <w:lvl w:ilvl="1">
      <w:lvlJc w:val="left"/>
      <w:lvlText w:val="(%2)"/>
      <w:numFmt w:val="lowerLetter"/>
      <w:start w:val="9"/>
    </w:lvl>
  </w:abstractNum>
  <w:abstractNum w:abstractNumId="53">
    <w:nsid w:val="799D0247"/>
    <w:multiLevelType w:val="hybridMultilevel"/>
    <w:lvl w:ilvl="0">
      <w:lvlJc w:val="left"/>
      <w:lvlText w:val="%1"/>
      <w:numFmt w:val="lowerLetter"/>
      <w:start w:val="1"/>
    </w:lvl>
    <w:lvl w:ilvl="1">
      <w:lvlJc w:val="left"/>
      <w:lvlText w:val="(%2)"/>
      <w:numFmt w:val="lowerRoman"/>
      <w:start w:val="2"/>
    </w:lvl>
  </w:abstractNum>
  <w:abstractNum w:abstractNumId="54">
    <w:nsid w:val="6B94764"/>
    <w:multiLevelType w:val="hybridMultilevel"/>
    <w:lvl w:ilvl="0">
      <w:lvlJc w:val="left"/>
      <w:lvlText w:val="(%1)"/>
      <w:numFmt w:val="lowerLetter"/>
      <w:start w:val="3"/>
    </w:lvl>
    <w:lvl w:ilvl="1">
      <w:lvlJc w:val="left"/>
      <w:lvlText w:val="(%2)"/>
      <w:numFmt w:val="lowerRoman"/>
      <w:start w:val="1"/>
    </w:lvl>
  </w:abstractNum>
  <w:abstractNum w:abstractNumId="55">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6">
    <w:nsid w:val="168E121F"/>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4"/>
    </w:lvl>
  </w:abstractNum>
  <w:abstractNum w:abstractNumId="57">
    <w:nsid w:val="1EBA5D23"/>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58">
    <w:nsid w:val="661E3F1E"/>
    <w:multiLevelType w:val="hybridMultilevel"/>
    <w:lvl w:ilvl="0">
      <w:lvlJc w:val="left"/>
      <w:lvlText w:val="(%1)"/>
      <w:numFmt w:val="lowerLetter"/>
      <w:start w:val="3"/>
    </w:lvl>
    <w:lvl w:ilvl="1">
      <w:lvlJc w:val="left"/>
      <w:lvlText w:val="(%2)"/>
      <w:numFmt w:val="lowerLetter"/>
      <w:start w:val="5"/>
    </w:lvl>
  </w:abstractNum>
  <w:abstractNum w:abstractNumId="59">
    <w:nsid w:val="5DC79EA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0">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1">
    <w:nsid w:val="7BD3EE7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2">
    <w:nsid w:val="51D9C564"/>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63">
    <w:nsid w:val="613EFDC5"/>
    <w:multiLevelType w:val="hybridMultilevel"/>
    <w:lvl w:ilvl="0">
      <w:lvlJc w:val="left"/>
      <w:lvlText w:val="%1."/>
      <w:numFmt w:val="decimal"/>
      <w:start w:val="16"/>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2"/>
    </w:lvl>
  </w:abstractNum>
  <w:abstractNum w:abstractNumId="66">
    <w:nsid w:val="42963E5A"/>
    <w:multiLevelType w:val="hybridMultilevel"/>
    <w:lvl w:ilvl="0">
      <w:lvlJc w:val="left"/>
      <w:lvlText w:val="%1."/>
      <w:numFmt w:val="decimal"/>
      <w:start w:val="22"/>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decimal"/>
      <w:start w:val="1"/>
    </w:lvl>
    <w:lvl w:ilvl="1">
      <w:lvlJc w:val="left"/>
      <w:lvlText w:val="%2."/>
      <w:numFmt w:val="lowerLetter"/>
      <w:start w:val="1"/>
    </w:lvl>
  </w:abstractNum>
  <w:abstractNum w:abstractNumId="69">
    <w:nsid w:val="1A32234B"/>
    <w:multiLevelType w:val="hybridMultilevel"/>
    <w:lvl w:ilvl="0">
      <w:lvlJc w:val="left"/>
      <w:lvlText w:val="%1."/>
      <w:numFmt w:val="decimal"/>
      <w:start w:val="1"/>
    </w:lvl>
    <w:lvl w:ilvl="1">
      <w:lvlJc w:val="left"/>
      <w:lvlText w:val="%2."/>
      <w:numFmt w:val="lowerLetter"/>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upperLetter"/>
      <w:start w:val="1"/>
    </w:lvl>
  </w:abstractNum>
  <w:abstractNum w:abstractNumId="73">
    <w:nsid w:val="60B6DF70"/>
    <w:multiLevelType w:val="hybridMultilevel"/>
    <w:lvl w:ilvl="0">
      <w:lvlJc w:val="left"/>
      <w:lvlText w:val="%1."/>
      <w:numFmt w:val="upperLetter"/>
      <w:start w:val="2"/>
    </w:lvl>
    <w:lvl w:ilvl="1">
      <w:lvlJc w:val="left"/>
      <w:lvlText w:val="(%2)"/>
      <w:numFmt w:val="decimal"/>
      <w:start w:val="1"/>
    </w:lvl>
  </w:abstractNum>
  <w:abstractNum w:abstractNumId="74">
    <w:nsid w:val="6A5EE6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5">
    <w:nsid w:val="14330624"/>
    <w:multiLevelType w:val="hybridMultilevel"/>
    <w:lvl w:ilvl="0">
      <w:lvlJc w:val="left"/>
      <w:lvlText w:val="(%1)"/>
      <w:numFmt w:val="lowerRoman"/>
      <w:start w:val="2"/>
    </w:lvl>
  </w:abstractNum>
  <w:abstractNum w:abstractNumId="76">
    <w:nsid w:val="7FFFCA11"/>
    <w:multiLevelType w:val="hybridMultilevel"/>
    <w:lvl w:ilvl="0">
      <w:lvlJc w:val="left"/>
      <w:lvlText w:val="(%1)"/>
      <w:numFmt w:val="lowerRoman"/>
      <w:start w:val="3"/>
    </w:lvl>
  </w:abstractNum>
  <w:abstractNum w:abstractNumId="77">
    <w:nsid w:val="1A27709E"/>
    <w:multiLevelType w:val="hybridMultilevel"/>
    <w:lvl w:ilvl="0">
      <w:lvlJc w:val="left"/>
      <w:lvlText w:val="(%1)"/>
      <w:numFmt w:val="decimal"/>
      <w:start w:val="2"/>
    </w:lvl>
  </w:abstractNum>
  <w:abstractNum w:abstractNumId="78">
    <w:nsid w:val="71EA1109"/>
    <w:multiLevelType w:val="hybridMultilevel"/>
    <w:lvl w:ilvl="0">
      <w:lvlJc w:val="left"/>
      <w:lvlText w:val="(%1)"/>
      <w:numFmt w:val="lowerRoman"/>
      <w:start w:val="1"/>
    </w:lvl>
  </w:abstractNum>
  <w:abstractNum w:abstractNumId="79">
    <w:nsid w:val="100F59DC"/>
    <w:multiLevelType w:val="hybridMultilevel"/>
    <w:lvl w:ilvl="0">
      <w:lvlJc w:val="left"/>
      <w:lvlText w:val="%1"/>
      <w:numFmt w:val="upperLetter"/>
      <w:start w:val="1"/>
    </w:lvl>
    <w:lvl w:ilvl="1">
      <w:lvlJc w:val="left"/>
      <w:lvlText w:val="(%2)"/>
      <w:numFmt w:val="decimal"/>
      <w:start w:val="3"/>
    </w:lvl>
  </w:abstractNum>
  <w:abstractNum w:abstractNumId="80">
    <w:nsid w:val="7FB7E0AA"/>
    <w:multiLevelType w:val="hybridMultilevel"/>
    <w:lvl w:ilvl="0">
      <w:lvlJc w:val="left"/>
      <w:lvlText w:val="%1."/>
      <w:numFmt w:val="upperLetter"/>
      <w:start w:val="3"/>
    </w:lvl>
    <w:lvl w:ilvl="1">
      <w:lvlJc w:val="left"/>
      <w:lvlText w:val="%2"/>
      <w:numFmt w:val="decimal"/>
      <w:start w:val="1"/>
    </w:lvl>
  </w:abstractNum>
  <w:abstractNum w:abstractNumId="81">
    <w:nsid w:val="6EB5BD4"/>
    <w:multiLevelType w:val="hybridMultilevel"/>
    <w:lvl w:ilvl="0">
      <w:lvlJc w:val="left"/>
      <w:lvlText w:val="%1."/>
      <w:numFmt w:val="upperLetter"/>
      <w:start w:val="4"/>
    </w:lvl>
  </w:abstractNum>
  <w:abstractNum w:abstractNumId="82">
    <w:nsid w:val="6F6DD9AC"/>
    <w:multiLevelType w:val="hybridMultilevel"/>
    <w:lvl w:ilvl="0">
      <w:lvlJc w:val="left"/>
      <w:lvlText w:val="%1."/>
      <w:numFmt w:val="upperLetter"/>
      <w:start w:val="5"/>
    </w:lvl>
  </w:abstractNum>
  <w:abstractNum w:abstractNumId="83">
    <w:nsid w:val="94211F2"/>
    <w:multiLevelType w:val="hybridMultilevel"/>
    <w:lvl w:ilvl="0">
      <w:lvlJc w:val="left"/>
      <w:lvlText w:val="%1."/>
      <w:numFmt w:val="upperLetter"/>
      <w:start w:val="6"/>
    </w:lvl>
  </w:abstractNum>
  <w:abstractNum w:abstractNumId="84">
    <w:nsid w:val="885E1B"/>
    <w:multiLevelType w:val="hybridMultilevel"/>
    <w:lvl w:ilvl="0">
      <w:lvlJc w:val="left"/>
      <w:lvlText w:val="%1."/>
      <w:numFmt w:val="upperLetter"/>
      <w:start w:val="7"/>
    </w:lvl>
  </w:abstractNum>
  <w:abstractNum w:abstractNumId="85">
    <w:nsid w:val="76272110"/>
    <w:multiLevelType w:val="hybridMultilevel"/>
    <w:lvl w:ilvl="0">
      <w:lvlJc w:val="left"/>
      <w:lvlText w:val="%1."/>
      <w:numFmt w:val="upperLetter"/>
      <w:start w:val="8"/>
    </w:lvl>
    <w:lvl w:ilvl="1">
      <w:lvlJc w:val="left"/>
      <w:lvlText w:val="(%2)"/>
      <w:numFmt w:val="decimal"/>
      <w:start w:val="1"/>
    </w:lvl>
  </w:abstractNum>
  <w:abstractNum w:abstractNumId="86">
    <w:nsid w:val="4C04A8AF"/>
    <w:multiLevelType w:val="hybridMultilevel"/>
    <w:lvl w:ilvl="0">
      <w:lvlJc w:val="left"/>
      <w:lvlText w:val="(%1)"/>
      <w:numFmt w:val="decimal"/>
      <w:start w:val="2"/>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83" Type="http://schemas.openxmlformats.org/officeDocument/2006/relationships/image" Target="media/image234.png"/><Relationship Id="rId284"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327"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332" Type="http://schemas.openxmlformats.org/officeDocument/2006/relationships/image" Target="media/image278.png"/><Relationship Id="rId333" Type="http://schemas.openxmlformats.org/officeDocument/2006/relationships/image" Target="media/image279.png"/><Relationship Id="rId334" Type="http://schemas.openxmlformats.org/officeDocument/2006/relationships/image" Target="media/image280.png"/><Relationship Id="rId335" Type="http://schemas.openxmlformats.org/officeDocument/2006/relationships/image" Target="media/image281.png"/><Relationship Id="rId336" Type="http://schemas.openxmlformats.org/officeDocument/2006/relationships/image" Target="media/image282.png"/><Relationship Id="rId337" Type="http://schemas.openxmlformats.org/officeDocument/2006/relationships/image" Target="media/image283.png"/><Relationship Id="rId338" Type="http://schemas.openxmlformats.org/officeDocument/2006/relationships/image" Target="media/image284.png"/><Relationship Id="rId339" Type="http://schemas.openxmlformats.org/officeDocument/2006/relationships/image" Target="media/image285.png"/><Relationship Id="rId340" Type="http://schemas.openxmlformats.org/officeDocument/2006/relationships/image" Target="media/image286.png"/><Relationship Id="rId341" Type="http://schemas.openxmlformats.org/officeDocument/2006/relationships/image" Target="media/image287.png"/><Relationship Id="rId342" Type="http://schemas.openxmlformats.org/officeDocument/2006/relationships/image" Target="media/image288.png"/><Relationship Id="rId343" Type="http://schemas.openxmlformats.org/officeDocument/2006/relationships/image" Target="media/image289.png"/><Relationship Id="rId344" Type="http://schemas.openxmlformats.org/officeDocument/2006/relationships/image" Target="media/image290.png"/><Relationship Id="rId345" Type="http://schemas.openxmlformats.org/officeDocument/2006/relationships/image" Target="media/image291.png"/><Relationship Id="rId346" Type="http://schemas.openxmlformats.org/officeDocument/2006/relationships/image" Target="media/image292.png"/><Relationship Id="rId347" Type="http://schemas.openxmlformats.org/officeDocument/2006/relationships/image" Target="media/image293.png"/><Relationship Id="rId348" Type="http://schemas.openxmlformats.org/officeDocument/2006/relationships/image" Target="media/image294.png"/><Relationship Id="rId349" Type="http://schemas.openxmlformats.org/officeDocument/2006/relationships/image" Target="media/image295.png"/><Relationship Id="rId350" Type="http://schemas.openxmlformats.org/officeDocument/2006/relationships/image" Target="media/image296.png"/><Relationship Id="rId351" Type="http://schemas.openxmlformats.org/officeDocument/2006/relationships/image" Target="media/image297.png"/><Relationship Id="rId352" Type="http://schemas.openxmlformats.org/officeDocument/2006/relationships/image" Target="media/image298.png"/><Relationship Id="rId353" Type="http://schemas.openxmlformats.org/officeDocument/2006/relationships/image" Target="media/image299.png"/><Relationship Id="rId354" Type="http://schemas.openxmlformats.org/officeDocument/2006/relationships/image" Target="media/image300.png"/><Relationship Id="rId355" Type="http://schemas.openxmlformats.org/officeDocument/2006/relationships/image" Target="media/image301.png"/><Relationship Id="rId356" Type="http://schemas.openxmlformats.org/officeDocument/2006/relationships/image" Target="media/image302.png"/><Relationship Id="rId357" Type="http://schemas.openxmlformats.org/officeDocument/2006/relationships/image" Target="media/image303.png"/><Relationship Id="rId358" Type="http://schemas.openxmlformats.org/officeDocument/2006/relationships/image" Target="media/image304.png"/><Relationship Id="rId237" Type="http://schemas.openxmlformats.org/officeDocument/2006/relationships/hyperlink" Target="https://www.sec.gov/Archives/edgar/data/1177702/000095017023069432/saia-ex2_1.htm" TargetMode="External"/><Relationship Id="rId238" Type="http://schemas.openxmlformats.org/officeDocument/2006/relationships/hyperlink" Target="https://www.sec.gov/Archives/edgar/data/1177702/000095017024051352/saia-ex3_1.htm" TargetMode="External"/><Relationship Id="rId239" Type="http://schemas.openxmlformats.org/officeDocument/2006/relationships/hyperlink" Target="https://www.sec.gov/Archives/edgar/data/1177702/000129993308003654/exhibit1.htm" TargetMode="External"/><Relationship Id="rId240" Type="http://schemas.openxmlformats.org/officeDocument/2006/relationships/hyperlink" Target="https://www.sec.gov/Archives/edgar/data/1177702/000095017023064199/saia-ex4_1.htm" TargetMode="External"/><Relationship Id="rId241" Type="http://schemas.openxmlformats.org/officeDocument/2006/relationships/hyperlink" Target="https://www.sec.gov/Archives/edgar/data/1177702/000095017023001834/saia-ex10_1.htm" TargetMode="External"/><Relationship Id="rId242" Type="http://schemas.openxmlformats.org/officeDocument/2006/relationships/hyperlink" Target="https://www.sec.gov/Archives/edgar/data/1177702/000095017023059404/saia-ex10_1.htm" TargetMode="External"/><Relationship Id="rId243" Type="http://schemas.openxmlformats.org/officeDocument/2006/relationships/hyperlink" Target="https://www.sec.gov/Archives/edgar/data/1177702/000095017024134764/saia-ex10_1.htm" TargetMode="External"/><Relationship Id="rId244" Type="http://schemas.openxmlformats.org/officeDocument/2006/relationships/hyperlink" Target="https://www.sec.gov/Archives/edgar/data/1177702/000129993306008049/exhibit2.htm" TargetMode="External"/><Relationship Id="rId245" Type="http://schemas.openxmlformats.org/officeDocument/2006/relationships/hyperlink" Target="https://www.sec.gov/Archives/edgar/data/1177702/000095013704001214/c83178exv10w15.txt" TargetMode="External"/><Relationship Id="rId246" Type="http://schemas.openxmlformats.org/officeDocument/2006/relationships/hyperlink" Target="https://www.sec.gov/Archives/edgar/data/1177702/000095013403003935/c75338exv10w9.txt" TargetMode="External"/><Relationship Id="rId247" Type="http://schemas.openxmlformats.org/officeDocument/2006/relationships/hyperlink" Target="https://www.sec.gov/Archives/edgar/data/1177702/000156459021008077/saia-ex1052_503.htm" TargetMode="External"/><Relationship Id="rId248" Type="http://schemas.openxmlformats.org/officeDocument/2006/relationships/hyperlink" Target="https://www.sec.gov/Archives/edgar/data/1177702/000156459020009186/saia-ex104_11.htm" TargetMode="External"/><Relationship Id="rId249" Type="http://schemas.openxmlformats.org/officeDocument/2006/relationships/hyperlink" Target="https://www.sec.gov/Archives/edgar/data/1177702/000129993315000213/exhibit4.htm" TargetMode="External"/><Relationship Id="rId250" Type="http://schemas.openxmlformats.org/officeDocument/2006/relationships/hyperlink" Target="https://www.sec.gov/Archives/edgar/data/1177702/000156459020009186/saia-ex103_10.htm" TargetMode="External"/><Relationship Id="rId253" Type="http://schemas.openxmlformats.org/officeDocument/2006/relationships/hyperlink" Target="https://www.sec.gov/Archives/edgar/data/1177702/000129993306006959/exhibit1.htm" TargetMode="External"/><Relationship Id="rId254" Type="http://schemas.openxmlformats.org/officeDocument/2006/relationships/hyperlink" Target="https://www.sec.gov/Archives/edgar/data/1177702/000129993308005027/exhibit1.htm" TargetMode="External"/><Relationship Id="rId255" Type="http://schemas.openxmlformats.org/officeDocument/2006/relationships/hyperlink" Target="https://www.sec.gov/Archives/edgar/data/1177702/000129993309001566/exhibit1.htm" TargetMode="External"/><Relationship Id="rId256" Type="http://schemas.openxmlformats.org/officeDocument/2006/relationships/hyperlink" Target="https://www.sec.gov/Archives/edgar/data/1177702/000156459020009186/saia-ex101_8.htm" TargetMode="External"/><Relationship Id="rId257" Type="http://schemas.openxmlformats.org/officeDocument/2006/relationships/hyperlink" Target="https://www.sec.gov/Archives/edgar/data/1177702/000129993306006959/exhibit3.htm" TargetMode="External"/><Relationship Id="rId258" Type="http://schemas.openxmlformats.org/officeDocument/2006/relationships/hyperlink" Target="https://www.sec.gov/Archives/edgar/data/1177702/000129993308005027/exhibit4.htm" TargetMode="External"/><Relationship Id="rId259" Type="http://schemas.openxmlformats.org/officeDocument/2006/relationships/hyperlink" Target="https://www.sec.gov/Archives/edgar/data/1177702/000156459020009186/saia-ex102_9.htm" TargetMode="External"/><Relationship Id="rId260" Type="http://schemas.openxmlformats.org/officeDocument/2006/relationships/hyperlink" Target="https://www.sec.gov/Archives/edgar/data/1177702/000119312513122420/d466521ddef14a.htm" TargetMode="External"/><Relationship Id="rId261" Type="http://schemas.openxmlformats.org/officeDocument/2006/relationships/hyperlink" Target="https://www.sec.gov/Archives/edgar/data/1177702/000095017023002136/saia-ex10_1.htm" TargetMode="External"/><Relationship Id="rId262" Type="http://schemas.openxmlformats.org/officeDocument/2006/relationships/hyperlink" Target="https://www.sec.gov/Archives/edgar/data/1177702/000129993311001385/exhibit1.htm" TargetMode="External"/><Relationship Id="rId263" Type="http://schemas.openxmlformats.org/officeDocument/2006/relationships/hyperlink" Target="https://www.sec.gov/Archives/edgar/data/1177702/000129993315000213/exhibit1.htm" TargetMode="External"/><Relationship Id="rId264" Type="http://schemas.openxmlformats.org/officeDocument/2006/relationships/hyperlink" Target="https://www.sec.gov/Archives/edgar/data/1177702/000129993315000213/exhibit2.htm" TargetMode="External"/><Relationship Id="rId265" Type="http://schemas.openxmlformats.org/officeDocument/2006/relationships/hyperlink" Target="https://www.sec.gov/Archives/edgar/data/1177702/000129993315000213/exhibit3.htm" TargetMode="External"/><Relationship Id="rId266" Type="http://schemas.openxmlformats.org/officeDocument/2006/relationships/hyperlink" Target="https://www.sec.gov/Archives/edgar/data/1177702/000156459018006336/saia-def14a_20180307.htm" TargetMode="External"/><Relationship Id="rId267" Type="http://schemas.openxmlformats.org/officeDocument/2006/relationships/hyperlink" Target="https://www.sec.gov/Archives/edgar/data/1177702/000156459019004105/saia-ex1023_169.htm" TargetMode="External"/><Relationship Id="rId270" Type="http://schemas.openxmlformats.org/officeDocument/2006/relationships/hyperlink" Target="https://www.sec.gov/Archives/edgar/data/1177702/000095017024019368/saia-ex10_132.htm" TargetMode="External"/><Relationship Id="rId271" Type="http://schemas.openxmlformats.org/officeDocument/2006/relationships/hyperlink" Target="https://www.sec.gov/Archives/edgar/data/1177702/000095017025025702/saia-ex10_133.htm" TargetMode="External"/><Relationship Id="rId272" Type="http://schemas.openxmlformats.org/officeDocument/2006/relationships/hyperlink" Target="https://www.sec.gov/Archives/edgar/data/1177702/000156459019004105/saia-ex1024_170.htm" TargetMode="External"/><Relationship Id="rId273" Type="http://schemas.openxmlformats.org/officeDocument/2006/relationships/hyperlink" Target="https://www.sec.gov/Archives/edgar/data/1177702/000156459022006259/saia-ex10162_200.htm" TargetMode="External"/><Relationship Id="rId274" Type="http://schemas.openxmlformats.org/officeDocument/2006/relationships/hyperlink" Target="https://www.sec.gov/Archives/edgar/data/1177702/000095017023035483/saia-ex10_1.htm" TargetMode="External"/><Relationship Id="rId275" Type="http://schemas.openxmlformats.org/officeDocument/2006/relationships/hyperlink" Target="https://www.sec.gov/Archives/edgar/data/1177702/000095017023035483/saia-ex10_2.htm" TargetMode="External"/><Relationship Id="rId276" Type="http://schemas.openxmlformats.org/officeDocument/2006/relationships/hyperlink" Target="https://www.sec.gov/Archives/edgar/data/1177702/000095017024019368/saia-ex10_145.htm" TargetMode="External"/><Relationship Id="rId277" Type="http://schemas.openxmlformats.org/officeDocument/2006/relationships/hyperlink" Target="https://www.sec.gov/Archives/edgar/data/1177702/000095017024019368/saia-ex10_146.htm" TargetMode="External"/><Relationship Id="rId278" Type="http://schemas.openxmlformats.org/officeDocument/2006/relationships/hyperlink" Target="https://www.sec.gov/Archives/edgar/data/1177702/000095017025025702/saia-ex10_147.htm" TargetMode="External"/><Relationship Id="rId279" Type="http://schemas.openxmlformats.org/officeDocument/2006/relationships/hyperlink" Target="https://www.sec.gov/Archives/edgar/data/1177702/000095017025025702/saia-ex10_148.htm" TargetMode="External"/><Relationship Id="rId280" Type="http://schemas.openxmlformats.org/officeDocument/2006/relationships/hyperlink" Target="https://www.sec.gov/Archives/edgar/data/1177702/000156459019004105/saia-ex1025_171.htm" TargetMode="External"/><Relationship Id="rId281" Type="http://schemas.openxmlformats.org/officeDocument/2006/relationships/hyperlink" Target="https://www.sec.gov/Archives/edgar/data/1177702/000156459020006382/saia-ex1025_16.htm" TargetMode="External"/><Relationship Id="rId282" Type="http://schemas.openxmlformats.org/officeDocument/2006/relationships/hyperlink" Target="https://www.sec.gov/Archives/edgar/data/1177702/000156459020006382/saia-ex1026_8.htm" TargetMode="External"/><Relationship Id="rId285" Type="http://schemas.openxmlformats.org/officeDocument/2006/relationships/hyperlink" Target="https://www.sec.gov/Archives/edgar/data/1177702/000156459020006382/saia-ex1024_9.htm" TargetMode="External"/><Relationship Id="rId286" Type="http://schemas.openxmlformats.org/officeDocument/2006/relationships/hyperlink" Target="https://www.sec.gov/Archives/edgar/data/1177702/000156459021008077/saia-ex10177_504.htm" TargetMode="External"/><Relationship Id="rId287" Type="http://schemas.openxmlformats.org/officeDocument/2006/relationships/hyperlink" Target="https://www.sec.gov/Archives/edgar/data/1177702/000156459021008077/saia-ex10178_505.htm" TargetMode="External"/><Relationship Id="rId288" Type="http://schemas.openxmlformats.org/officeDocument/2006/relationships/hyperlink" Target="https://www.sec.gov/Archives/edgar/data/1177702/000095017025025702/saia-ex19_1.htm" TargetMode="External"/><Relationship Id="rId289" Type="http://schemas.openxmlformats.org/officeDocument/2006/relationships/hyperlink" Target="https://www.sec.gov/Archives/edgar/data/1177702/000095017024019368/sai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2026-02-24T15:30:11Z</dcterms:created>
  <dcterms:modified xsi:type="dcterms:W3CDTF">2026-02-24T15:30:11Z</dcterms:modified>
</cp:coreProperties>
</file>