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SAIA,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0-49983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48-1229851</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11465 Johns Creek Parkway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400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Johns Creek, Georgia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30097</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770 232-5067</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Changes.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SAIA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25, 2025 Saia, Inc. issued a press release announcing its second quarter 2025 results. A copy of the press release is attached as Exhibit 99.1 to this Report on Form 8-K.</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Registrant under the Securities Act of 1933, as amended, of the Exchange Act, except as otherwise expressly stated in any such filing.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of Saia, Inc. dated July 25, 2025 announcing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36360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36010" cy="8255"/>
                    </a:xfrm>
                    <a:prstGeom prst="rect">
                      <a:avLst/>
                    </a:prstGeom>
                    <a:noFill/>
                  </pic:spPr>
                </pic:pic>
              </a:graphicData>
            </a:graphic>
          </wp:anchor>
        </w:drawing>
      </w:r>
    </w:p>
    <w:p>
      <w:pPr>
        <w:spacing w:after="0" w:line="205" w:lineRule="exact"/>
        <w:rPr>
          <w:sz w:val="20"/>
          <w:szCs w:val="20"/>
          <w:color w:val="auto"/>
        </w:rPr>
      </w:pPr>
    </w:p>
    <w:p>
      <w:pPr>
        <w:ind w:left="1160" w:hanging="1152"/>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4" w:right="45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SAIA, INC.</w:t>
      </w:r>
    </w:p>
    <w:p>
      <w:pPr>
        <w:spacing w:after="0" w:line="279" w:lineRule="exact"/>
        <w:rPr>
          <w:sz w:val="20"/>
          <w:szCs w:val="20"/>
          <w:color w:val="auto"/>
        </w:rPr>
      </w:pPr>
    </w:p>
    <w:p>
      <w:pPr>
        <w:ind w:left="4400"/>
        <w:spacing w:after="0"/>
        <w:tabs>
          <w:tab w:leader="none" w:pos="6980" w:val="left"/>
        </w:tabs>
        <w:rPr>
          <w:sz w:val="20"/>
          <w:szCs w:val="20"/>
          <w:color w:val="auto"/>
        </w:rPr>
      </w:pPr>
      <w:r>
        <w:rPr>
          <w:rFonts w:ascii="Times New Roman" w:cs="Times New Roman" w:eastAsia="Times New Roman" w:hAnsi="Times New Roman"/>
          <w:sz w:val="18"/>
          <w:szCs w:val="18"/>
          <w:color w:val="auto"/>
        </w:rPr>
        <w:t>Date: July 25, 2025</w:t>
      </w:r>
      <w:r>
        <w:rPr>
          <w:sz w:val="20"/>
          <w:szCs w:val="20"/>
          <w:color w:val="auto"/>
        </w:rPr>
        <w:tab/>
      </w:r>
      <w:r>
        <w:rPr>
          <w:rFonts w:ascii="Times New Roman" w:cs="Times New Roman" w:eastAsia="Times New Roman" w:hAnsi="Times New Roman"/>
          <w:sz w:val="17"/>
          <w:szCs w:val="17"/>
          <w:color w:val="auto"/>
        </w:rPr>
        <w:t>/s/ Kelly W.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17145</wp:posOffset>
            </wp:positionV>
            <wp:extent cx="2691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Kelly W. Benton</w:t>
      </w:r>
    </w:p>
    <w:p>
      <w:pPr>
        <w:spacing w:after="0" w:line="3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188" w:right="1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431165</wp:posOffset>
            </wp:positionV>
            <wp:extent cx="1276985" cy="1388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698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9"/>
          <w:szCs w:val="29"/>
          <w:b w:val="1"/>
          <w:bCs w:val="1"/>
          <w:color w:val="auto"/>
        </w:rPr>
        <w:t>Saia Reports Second Quarter Results</w:t>
      </w:r>
    </w:p>
    <w:p>
      <w:pPr>
        <w:spacing w:after="0" w:line="2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JOHNS CREEK, GA – July 25, 2025 – Saia, Inc. (Nasdaq: SAIA), a leading transportation provider offering national less-than-truckload (LTL), non-asset truckload, expedited and logistics services, today reported second quarter 2025 financial results. Diluted earnings per share for the quarter were $2.67 compared to $3.83 in the second quarter of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Highlights from the second quarter operating results were as follows: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Second Quarter 2025 Compared to Second Quarter 2024 Results</w:t>
      </w:r>
    </w:p>
    <w:p>
      <w:pPr>
        <w:spacing w:after="0" w:line="237"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 was $817.1 million, a 0.7% decrease</w:t>
      </w:r>
    </w:p>
    <w:p>
      <w:pPr>
        <w:spacing w:after="0" w:line="14"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income was $99.4 million, a 27.8% decrease</w:t>
      </w:r>
    </w:p>
    <w:p>
      <w:pPr>
        <w:ind w:left="760" w:hanging="378"/>
        <w:spacing w:after="0" w:line="230" w:lineRule="auto"/>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ratio of 87.8% compared to 83.3%</w:t>
      </w:r>
    </w:p>
    <w:p>
      <w:pPr>
        <w:ind w:left="760" w:hanging="378"/>
        <w:spacing w:after="0" w:line="230" w:lineRule="auto"/>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LTL shipments per workday decreased 2.8%</w:t>
      </w:r>
    </w:p>
    <w:p>
      <w:pPr>
        <w:ind w:left="760" w:hanging="378"/>
        <w:spacing w:after="0" w:line="230" w:lineRule="auto"/>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LTL tonnage per workday increased 1.1%</w:t>
      </w:r>
    </w:p>
    <w:p>
      <w:pPr>
        <w:ind w:left="760" w:hanging="378"/>
        <w:spacing w:after="0" w:line="230" w:lineRule="auto"/>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LTL revenue per hundredweight, excluding fuel surcharge revenue, decreased 1.2%</w:t>
      </w:r>
    </w:p>
    <w:p>
      <w:pPr>
        <w:ind w:left="760" w:hanging="378"/>
        <w:spacing w:after="0"/>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LTL revenue per shipment, excluding fuel surcharge revenue, increased 2.7%</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Saia President and CEO, Fritz Holzgrefe, commented on the quarter stating, "I was pleased with our team's ability to focus on what was within our control in the second quarter. Our continued emphasis on taking care of the customer in all of our markets, mix management, and managing costs to adjust to current volume trends demonstrated our ability to navigate a dynamic backdrop."</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Executive Vice President and CFO, Matt Batteh, noted that, "Our customer first focus is yielding tangible results, especially in our newer markets, as our facilities opened for less than three years continue to lead the charge in volume and revenue growth. We continued to see improvements in operational efficiencies throughout Q2, demonstrating the value of our long-term strategy of getting closer to the customer and building density in the network."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Position and Capital Expenditures</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We ended the second quarter of 2025 with $18.8 million of cash on hand and total debt of $309.1 million, which compares to $11.2 million of cash on hand and total debt of $176.7 million 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Saia, Inc. Second Quarter 2025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Net capital expenditures were $375.6 million during the first six months of 2025, compared to $681.3 million in net capital expenditures during the first six months of 2024. In 2025, we anticipate that net capital expenditures will be approximately $600 million to $650 million, subject to ongoing evaluation of market conditions.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Management will hold a conference call to discuss quarterly results today at 10:00 a.m. Eastern Time. To participate in the call, please dial 1-877-317-6789 and request to join the Saia, Inc. call. Callers should dial in five to ten minutes in advance of the conference call. This call will be webcast live via the Company website at </w:t>
      </w:r>
      <w:r>
        <w:rPr>
          <w:rFonts w:ascii="Times New Roman" w:cs="Times New Roman" w:eastAsia="Times New Roman" w:hAnsi="Times New Roman"/>
          <w:sz w:val="21"/>
          <w:szCs w:val="21"/>
          <w:b w:val="1"/>
          <w:bCs w:val="1"/>
          <w:color w:val="auto"/>
        </w:rPr>
        <w:t>www.saia.com/about-us/investor-relations/financial-releases</w:t>
      </w:r>
      <w:r>
        <w:rPr>
          <w:rFonts w:ascii="Times New Roman" w:cs="Times New Roman" w:eastAsia="Times New Roman" w:hAnsi="Times New Roman"/>
          <w:sz w:val="21"/>
          <w:szCs w:val="21"/>
          <w:color w:val="auto"/>
        </w:rPr>
        <w:t>. A replay of the call will be offered two hours after the completion of the call through August 25,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2025 at 11:59 P.M. Eastern Time. The replay will be available by dialing 1-877-344-7529 referencing conference ID #9136263.</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Saia, Inc. (NASDAQ: SAIA) offers customers a wide range of less-than-truckload, non-asset truckload, expedited and logistics services. With headquarters in Georgia, Saia LTL Freight operates 213 terminals with national service. For more information on Saia, Inc. visit the Investor Relations section at www.saia.com/about-us/investor-relations.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Securities and Exchange Commission encourages companies to disclose forward-looking information so that investors can better understand the future prospects of a company and make informed investment decisions. This news release may contain these types of statements, which are “forward-looking statements” within the meaning of the Private Securities Litigation Reform Act of 1995.</w:t>
      </w:r>
    </w:p>
    <w:p>
      <w:pPr>
        <w:spacing w:after="0" w:line="1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Words such as “anticipate,” “estimate,” “expect,” “project,” “intend,” “may,” “plan,” “predict,” “believe,” “should,” “potential” and similar words or expressions are intended to identify forward-looking statements. Investors should not place undue reliance on forward-looking statements and the Company undertakes no obligation to publicly update or revise any forward-looking statements, except as required by law. All forward-looking statements reflect the present expectation of future events of our management as of the date of this news release and are subject to a number of important factors, risks, uncertainties and assumptions that could cause actual results to differ materially from those described in any forward-looking statements. These factors, risks, uncertainties and assumptions include, but are not limited to, (1) general economic conditions including downturns or inflationary periods in the business cycle; (2) operation within a highly competitive industry and the adverse impact from downward pricing pressures, including in connection with fuel surcharges, and other factors; (3) industry-wide external factors largely out of our control; (4) cost and availability of qualified drivers, dock workers, mechanics and other employees, purchased transportation and fuel; (5) inflationary increases in expenses and corresponding reductions of profitability; (6) cost and availability of diesel fuel and fuel surcharges; (7) cost and availability of insurance coverage and claims expenses and other expense volatility, including for personal injury, cargo loss and damage, workers’ compensation, employment and group health plan claims; (8) failure to successfully execute the strategy to expand our service geography; (9) unexpected liabilities resulting from the acquisition of real estate assets; (10) costs and liabilities from the disruption in or failure of our technology or equipment essential to our operations, including as a result of cyber incidents, security breaches, malware or ransomware attacks; (11) risks arising from remote work, including increased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1016635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Saia, Inc. Second Quarter 2025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2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of related cybersecurity incidents; (12) failure to keep pace with technological developments; (13) liabilities and costs arising from the use of artificial intelligence; (14) labor relations, including the adverse impact should a portion of our workforce become unionized; (15) cost, availability and resale value of real property and revenue equipment; (16) supply chain disruption and delays on new equipment delivery; (17) capacity and highway infrastructure constraints; (18) changes in U.S. trade policy and the impact of tariffs; (19) risks arising from international business operations and relationships; (20) seasonal factors, harsh weather and disasters caused by climate change; (21) the creditworthiness of our customers and their ability to pay for services; (22) our need for capital and uncertainty of the credit markets; (23) the possibility of defaults under our debt agreements, including violation of financial covenants; (24) inaccuracies and changes to estimates and assumptions used in preparing our financial statements; (25) failure to operate and grow acquired businesses in a manner that support the value allocated to acquired businesses; (26) dependence on key employees; (27) employee turnover from changes to compensation and benefits or market factors; (28) increased costs of healthcare benefits; (29) damage to our reputation from adverse publicity, including from the use of or impact from social media; (30) failure to achieve acquisition synergies or disruption to our business due to such acquisitions; (31) the effect of litigation and class action lawsuits arising from the operation of our business, including the possibility of claims or judgments in excess of our insurance coverages or that result in increases in the cost of insurance coverage or that preclude us from obtaining adequate insurance coverage in the future; (32) the potential of higher corporate taxes and new regulations, including with respect to climate change, employment and labor law, healthcare and securities regulation; (33) the effect of governmental regulations, including hours of service and licensing compliance for drivers, engine emissions, the Compliance, Safety, Accountability (CSA) initiative, regulations of the Food and Drug Administration and Homeland Security, and healthcare and environmental regulations; (34) unforeseen costs from new and existing data privacy laws; (35) changes to the way LTL freight is categorized; (36) costs from new and existing laws regarding how to classify workers; (37) changes in accounting and financial standards or practices; (38) widespread outbreak of an illness or any other communicable disease; (39) international conflicts and geopolitical instability; (40) evolving stakeholder expectations regarding environmental and social issues; (41) provisions in our governing documents and Delaware law that may have anti-takeover effects; (42) issuances of equity that would dilute stock ownership; (43) weakness, disruption or loss of confidence in financial or credit markets; and (44) other financial, operational and legal risks and uncertainties detailed from time to time in the Company’s SEC filings.</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As a result of these and other factors, no assurance can be given as to our future results and achievements. Accordingly, a forward-looking statement is neither a prediction nor a guarantee of future events or circumstances and those future events or circumstances may not occur. You should not place undue reliance on the forward-looking statements, which speak only as of the date of this news release. We are under no obligation, and we expressly disclaim any obligation, to update or alter any forward-looking statements,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Saia, Inc. Second Quarter 2025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Saia, Inc.</w:t>
      </w:r>
    </w:p>
    <w:p>
      <w:pPr>
        <w:spacing w:after="0" w:line="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Matthew Batteh</w:t>
      </w:r>
    </w:p>
    <w:p>
      <w:pPr>
        <w:ind w:left="1140"/>
        <w:spacing w:after="0"/>
        <w:rPr>
          <w:sz w:val="20"/>
          <w:szCs w:val="20"/>
          <w:color w:val="auto"/>
        </w:rPr>
      </w:pPr>
      <w:r>
        <w:rPr>
          <w:rFonts w:ascii="Times New Roman" w:cs="Times New Roman" w:eastAsia="Times New Roman" w:hAnsi="Times New Roman"/>
          <w:sz w:val="21"/>
          <w:szCs w:val="21"/>
          <w:color w:val="auto"/>
        </w:rPr>
        <w:t>Executive Vice President and Chief Financial Officer</w:t>
      </w: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Investors@saia.com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1165860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Saia,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June 30, 2025</w:t>
            </w: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09"/>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$18,837</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347,196</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85,117</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451,150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435,769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7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w:t>
            </w:r>
          </w:p>
        </w:tc>
        <w:tc>
          <w:tcPr>
            <w:tcW w:w="2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4,133,481</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1,321,880</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4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2,811,601</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2,556,935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Assets</w:t>
            </w:r>
          </w:p>
        </w:tc>
        <w:tc>
          <w:tcPr>
            <w:tcW w:w="2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145,336</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4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49,639</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$3,457,726</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$3,166,857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7480" w:type="dxa"/>
            <w:vAlign w:val="bottom"/>
            <w:tcBorders>
              <w:top w:val="single" w:sz="8" w:color="CFF0FC"/>
            </w:tcBorders>
            <w:shd w:val="clear" w:color="auto" w:fill="CFF0FC"/>
          </w:tcPr>
          <w:p>
            <w:pPr>
              <w:spacing w:after="0"/>
              <w:rPr>
                <w:sz w:val="5"/>
                <w:szCs w:val="5"/>
                <w:color w:val="auto"/>
              </w:rPr>
            </w:pPr>
          </w:p>
        </w:tc>
        <w:tc>
          <w:tcPr>
            <w:tcW w:w="140" w:type="dxa"/>
            <w:vAlign w:val="bottom"/>
            <w:tcBorders>
              <w:top w:val="single" w:sz="8" w:color="CFF0FC"/>
            </w:tcBorders>
            <w:shd w:val="clear" w:color="auto" w:fill="CFF0FC"/>
          </w:tcPr>
          <w:p>
            <w:pPr>
              <w:spacing w:after="0"/>
              <w:rPr>
                <w:sz w:val="5"/>
                <w:szCs w:val="5"/>
                <w:color w:val="auto"/>
              </w:rPr>
            </w:pPr>
          </w:p>
        </w:tc>
        <w:tc>
          <w:tcPr>
            <w:tcW w:w="1740" w:type="dxa"/>
            <w:vAlign w:val="bottom"/>
            <w:tcBorders>
              <w:top w:val="single" w:sz="8" w:color="auto"/>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1720" w:type="dxa"/>
            <w:vAlign w:val="bottom"/>
            <w:tcBorders>
              <w:top w:val="single" w:sz="8" w:color="auto"/>
            </w:tcBorders>
            <w:shd w:val="clear" w:color="auto" w:fill="CFF0FC"/>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FF0FC"/>
          </w:tcPr>
          <w:p>
            <w:pPr>
              <w:spacing w:after="0"/>
              <w:rPr>
                <w:sz w:val="24"/>
                <w:szCs w:val="24"/>
                <w:color w:val="auto"/>
              </w:rPr>
            </w:pPr>
          </w:p>
        </w:tc>
        <w:tc>
          <w:tcPr>
            <w:tcW w:w="17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720" w:type="dxa"/>
            <w:vAlign w:val="bottom"/>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$128,993</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Wages, vacation and employees' benefits</w:t>
            </w:r>
          </w:p>
        </w:tc>
        <w:tc>
          <w:tcPr>
            <w:tcW w:w="2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61,909</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80,970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1,967</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4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28,970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302,809</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307,124</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2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106,282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236,536</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Claims, insurance and other</w:t>
            </w:r>
          </w:p>
        </w:tc>
        <w:tc>
          <w:tcPr>
            <w:tcW w:w="14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68,453</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other liabilities</w:t>
            </w:r>
          </w:p>
        </w:tc>
        <w:tc>
          <w:tcPr>
            <w:tcW w:w="1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718,395</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577,226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74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74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720" w:type="dxa"/>
            <w:vAlign w:val="bottom"/>
            <w:shd w:val="clear" w:color="auto" w:fill="CFF0F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300,593</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compensation trust</w:t>
            </w:r>
          </w:p>
        </w:tc>
        <w:tc>
          <w:tcPr>
            <w:tcW w:w="2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(9,418)</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2,145,320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2,436,522</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2,311,271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$3,457,726</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$3,166,857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5"/>
        </w:trPr>
        <w:tc>
          <w:tcPr>
            <w:tcW w:w="7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-5631180</wp:posOffset>
            </wp:positionV>
            <wp:extent cx="93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-5022850</wp:posOffset>
            </wp:positionV>
            <wp:extent cx="93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-4457065</wp:posOffset>
            </wp:positionV>
            <wp:extent cx="93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-4439920</wp:posOffset>
            </wp:positionV>
            <wp:extent cx="93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-1456690</wp:posOffset>
            </wp:positionV>
            <wp:extent cx="93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Saia,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Quarters and Six Months Ended June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color w:val="auto"/>
              </w:rPr>
              <w:t>Second Quarter</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8"/>
                <w:szCs w:val="18"/>
                <w:color w:val="auto"/>
              </w:rPr>
              <w:t>Six Months</w:t>
            </w:r>
          </w:p>
        </w:tc>
        <w:tc>
          <w:tcPr>
            <w:tcW w:w="980" w:type="dxa"/>
            <w:vAlign w:val="bottom"/>
            <w:tcBorders>
              <w:bottom w:val="single" w:sz="8" w:color="auto"/>
            </w:tcBorders>
          </w:tcPr>
          <w:p>
            <w:pPr>
              <w:spacing w:after="0"/>
              <w:rPr>
                <w:sz w:val="20"/>
                <w:szCs w:val="20"/>
                <w:color w:val="auto"/>
              </w:rPr>
            </w:pPr>
          </w:p>
        </w:tc>
      </w:tr>
      <w:tr>
        <w:trPr>
          <w:trHeight w:val="209"/>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$817,115</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$823,244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$1,604,690</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$1,578,019</w:t>
            </w:r>
          </w:p>
        </w:tc>
      </w:tr>
      <w:tr>
        <w:trPr>
          <w:trHeight w:val="297"/>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Salaries, wages and employees' benefits</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390,975</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372,240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780,231</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713,953</w:t>
            </w: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Purchased transportation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57,699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117,548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113,554</w:t>
            </w: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Fuel, operating expenses and supplies</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161,634</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160,877</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328,305</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317,202</w:t>
            </w: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taxes and licenses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42,451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39,459</w:t>
            </w: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Claims and insurance</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22,826</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18,828</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44,371</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36,291</w:t>
            </w: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62,546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121,589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101,385</w:t>
            </w:r>
          </w:p>
        </w:tc>
      </w:tr>
      <w:tr>
        <w:trPr>
          <w:trHeight w:val="216"/>
        </w:trPr>
        <w:tc>
          <w:tcPr>
            <w:tcW w:w="49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operating, net</w:t>
            </w:r>
          </w:p>
        </w:tc>
        <w:tc>
          <w:tcPr>
            <w:tcW w:w="18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10"/>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717,716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685,651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1,435,123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1,322,514</w:t>
            </w:r>
          </w:p>
        </w:tc>
      </w:tr>
      <w:tr>
        <w:trPr>
          <w:trHeight w:val="74"/>
        </w:trPr>
        <w:tc>
          <w:tcPr>
            <w:tcW w:w="4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99,399</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137,593</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169,567</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255,505</w:t>
            </w:r>
          </w:p>
        </w:tc>
      </w:tr>
      <w:tr>
        <w:trPr>
          <w:trHeight w:val="297"/>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w:t>
            </w: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16"/>
        </w:trPr>
        <w:tc>
          <w:tcPr>
            <w:tcW w:w="49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09"/>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Nonoperating expenses, net</w:t>
            </w:r>
          </w:p>
        </w:tc>
        <w:tc>
          <w:tcPr>
            <w:tcW w:w="1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91"/>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95,564</w:t>
            </w:r>
          </w:p>
        </w:tc>
        <w:tc>
          <w:tcPr>
            <w:tcW w:w="16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135,617</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161,129</w:t>
            </w:r>
          </w:p>
        </w:tc>
        <w:tc>
          <w:tcPr>
            <w:tcW w:w="16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254,530</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1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24,173</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33,098</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39,928</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61,316</w:t>
            </w:r>
          </w:p>
        </w:tc>
      </w:tr>
      <w:tr>
        <w:trPr>
          <w:trHeight w:val="25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$71,391</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$102,519</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$121,201</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$193,214</w:t>
            </w:r>
          </w:p>
        </w:tc>
      </w:tr>
      <w:tr>
        <w:trPr>
          <w:trHeight w:val="62"/>
        </w:trPr>
        <w:tc>
          <w:tcPr>
            <w:tcW w:w="4980" w:type="dxa"/>
            <w:vAlign w:val="bottom"/>
            <w:tcBorders>
              <w:top w:val="single" w:sz="8" w:color="CFF0FC"/>
            </w:tcBorders>
            <w:shd w:val="clear" w:color="auto" w:fill="CFF0FC"/>
          </w:tcPr>
          <w:p>
            <w:pPr>
              <w:spacing w:after="0"/>
              <w:rPr>
                <w:sz w:val="5"/>
                <w:szCs w:val="5"/>
                <w:color w:val="auto"/>
              </w:rPr>
            </w:pPr>
          </w:p>
        </w:tc>
        <w:tc>
          <w:tcPr>
            <w:tcW w:w="180" w:type="dxa"/>
            <w:vAlign w:val="bottom"/>
            <w:tcBorders>
              <w:top w:val="single" w:sz="8" w:color="CFF0FC"/>
            </w:tcBorders>
            <w:shd w:val="clear" w:color="auto" w:fill="CFF0FC"/>
          </w:tcPr>
          <w:p>
            <w:pPr>
              <w:spacing w:after="0"/>
              <w:rPr>
                <w:sz w:val="5"/>
                <w:szCs w:val="5"/>
                <w:color w:val="auto"/>
              </w:rPr>
            </w:pPr>
          </w:p>
        </w:tc>
        <w:tc>
          <w:tcPr>
            <w:tcW w:w="1400" w:type="dxa"/>
            <w:vAlign w:val="bottom"/>
            <w:tcBorders>
              <w:top w:val="single" w:sz="8" w:color="auto"/>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500" w:type="dxa"/>
            <w:vAlign w:val="bottom"/>
            <w:tcBorders>
              <w:top w:val="single" w:sz="8" w:color="auto"/>
            </w:tcBorders>
            <w:shd w:val="clear" w:color="auto" w:fill="CFF0FC"/>
          </w:tcPr>
          <w:p>
            <w:pPr>
              <w:spacing w:after="0"/>
              <w:rPr>
                <w:sz w:val="5"/>
                <w:szCs w:val="5"/>
                <w:color w:val="auto"/>
              </w:rPr>
            </w:pPr>
          </w:p>
        </w:tc>
        <w:tc>
          <w:tcPr>
            <w:tcW w:w="900" w:type="dxa"/>
            <w:vAlign w:val="bottom"/>
            <w:tcBorders>
              <w:top w:val="single" w:sz="8" w:color="auto"/>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1400" w:type="dxa"/>
            <w:vAlign w:val="bottom"/>
            <w:tcBorders>
              <w:top w:val="single" w:sz="8" w:color="auto"/>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420" w:type="dxa"/>
            <w:vAlign w:val="bottom"/>
            <w:tcBorders>
              <w:top w:val="single" w:sz="8" w:color="auto"/>
            </w:tcBorders>
            <w:shd w:val="clear" w:color="auto" w:fill="CFF0FC"/>
          </w:tcPr>
          <w:p>
            <w:pPr>
              <w:spacing w:after="0"/>
              <w:rPr>
                <w:sz w:val="5"/>
                <w:szCs w:val="5"/>
                <w:color w:val="auto"/>
              </w:rPr>
            </w:pPr>
          </w:p>
        </w:tc>
        <w:tc>
          <w:tcPr>
            <w:tcW w:w="980" w:type="dxa"/>
            <w:vAlign w:val="bottom"/>
            <w:tcBorders>
              <w:top w:val="single" w:sz="8" w:color="auto"/>
            </w:tcBorders>
            <w:shd w:val="clear" w:color="auto" w:fill="CFF0FC"/>
          </w:tcPr>
          <w:p>
            <w:pPr>
              <w:spacing w:after="0"/>
              <w:rPr>
                <w:sz w:val="5"/>
                <w:szCs w:val="5"/>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26,739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26,730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26,682</w:t>
            </w:r>
          </w:p>
        </w:tc>
      </w:tr>
      <w:tr>
        <w:trPr>
          <w:trHeight w:val="20"/>
        </w:trPr>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4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5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26,785</w:t>
            </w: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26,802</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26,782</w:t>
            </w: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26,798</w:t>
            </w:r>
          </w:p>
        </w:tc>
      </w:tr>
      <w:tr>
        <w:trPr>
          <w:trHeight w:val="62"/>
        </w:trPr>
        <w:tc>
          <w:tcPr>
            <w:tcW w:w="4980" w:type="dxa"/>
            <w:vAlign w:val="bottom"/>
            <w:tcBorders>
              <w:top w:val="single" w:sz="8" w:color="CFF0FC"/>
            </w:tcBorders>
            <w:shd w:val="clear" w:color="auto" w:fill="CFF0FC"/>
          </w:tcPr>
          <w:p>
            <w:pPr>
              <w:spacing w:after="0"/>
              <w:rPr>
                <w:sz w:val="5"/>
                <w:szCs w:val="5"/>
                <w:color w:val="auto"/>
              </w:rPr>
            </w:pPr>
          </w:p>
        </w:tc>
        <w:tc>
          <w:tcPr>
            <w:tcW w:w="180" w:type="dxa"/>
            <w:vAlign w:val="bottom"/>
            <w:tcBorders>
              <w:top w:val="single" w:sz="8" w:color="CFF0FC"/>
            </w:tcBorders>
            <w:shd w:val="clear" w:color="auto" w:fill="CFF0FC"/>
          </w:tcPr>
          <w:p>
            <w:pPr>
              <w:spacing w:after="0"/>
              <w:rPr>
                <w:sz w:val="5"/>
                <w:szCs w:val="5"/>
                <w:color w:val="auto"/>
              </w:rPr>
            </w:pPr>
          </w:p>
        </w:tc>
        <w:tc>
          <w:tcPr>
            <w:tcW w:w="1400" w:type="dxa"/>
            <w:vAlign w:val="bottom"/>
            <w:tcBorders>
              <w:top w:val="single" w:sz="8" w:color="auto"/>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500" w:type="dxa"/>
            <w:vAlign w:val="bottom"/>
            <w:tcBorders>
              <w:top w:val="single" w:sz="8" w:color="auto"/>
            </w:tcBorders>
            <w:shd w:val="clear" w:color="auto" w:fill="CFF0FC"/>
          </w:tcPr>
          <w:p>
            <w:pPr>
              <w:spacing w:after="0"/>
              <w:rPr>
                <w:sz w:val="5"/>
                <w:szCs w:val="5"/>
                <w:color w:val="auto"/>
              </w:rPr>
            </w:pPr>
          </w:p>
        </w:tc>
        <w:tc>
          <w:tcPr>
            <w:tcW w:w="900" w:type="dxa"/>
            <w:vAlign w:val="bottom"/>
            <w:tcBorders>
              <w:top w:val="single" w:sz="8" w:color="auto"/>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1400" w:type="dxa"/>
            <w:vAlign w:val="bottom"/>
            <w:tcBorders>
              <w:top w:val="single" w:sz="8" w:color="auto"/>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420" w:type="dxa"/>
            <w:vAlign w:val="bottom"/>
            <w:tcBorders>
              <w:top w:val="single" w:sz="8" w:color="auto"/>
            </w:tcBorders>
            <w:shd w:val="clear" w:color="auto" w:fill="CFF0FC"/>
          </w:tcPr>
          <w:p>
            <w:pPr>
              <w:spacing w:after="0"/>
              <w:rPr>
                <w:sz w:val="5"/>
                <w:szCs w:val="5"/>
                <w:color w:val="auto"/>
              </w:rPr>
            </w:pPr>
          </w:p>
        </w:tc>
        <w:tc>
          <w:tcPr>
            <w:tcW w:w="980" w:type="dxa"/>
            <w:vAlign w:val="bottom"/>
            <w:tcBorders>
              <w:top w:val="single" w:sz="8" w:color="auto"/>
            </w:tcBorders>
            <w:shd w:val="clear" w:color="auto" w:fill="CFF0FC"/>
          </w:tcPr>
          <w:p>
            <w:pPr>
              <w:spacing w:after="0"/>
              <w:rPr>
                <w:sz w:val="5"/>
                <w:szCs w:val="5"/>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0"/>
        </w:trPr>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5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$2.67</w:t>
            </w: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$3.83</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$4.53</w:t>
            </w: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$7.21</w:t>
            </w:r>
          </w:p>
        </w:tc>
      </w:tr>
      <w:tr>
        <w:trPr>
          <w:trHeight w:val="2526"/>
        </w:trPr>
        <w:tc>
          <w:tcPr>
            <w:tcW w:w="498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140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50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40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-3977005</wp:posOffset>
            </wp:positionV>
            <wp:extent cx="102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-3977005</wp:posOffset>
            </wp:positionV>
            <wp:extent cx="102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-3977005</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-3034030</wp:posOffset>
            </wp:positionV>
            <wp:extent cx="102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-3034030</wp:posOffset>
            </wp:positionV>
            <wp:extent cx="1028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-3034030</wp:posOffset>
            </wp:positionV>
            <wp:extent cx="1028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-2407920</wp:posOffset>
            </wp:positionV>
            <wp:extent cx="102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-2390775</wp:posOffset>
            </wp:positionV>
            <wp:extent cx="1028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-2407920</wp:posOffset>
            </wp:positionV>
            <wp:extent cx="1028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-2390775</wp:posOffset>
            </wp:positionV>
            <wp:extent cx="1028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-2407920</wp:posOffset>
            </wp:positionV>
            <wp:extent cx="1028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-2390775</wp:posOffset>
            </wp:positionV>
            <wp:extent cx="1028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-2031365</wp:posOffset>
            </wp:positionV>
            <wp:extent cx="102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-2014220</wp:posOffset>
            </wp:positionV>
            <wp:extent cx="102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-2031365</wp:posOffset>
            </wp:positionV>
            <wp:extent cx="102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-2014220</wp:posOffset>
            </wp:positionV>
            <wp:extent cx="102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-2031365</wp:posOffset>
            </wp:positionV>
            <wp:extent cx="102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-2014220</wp:posOffset>
            </wp:positionV>
            <wp:extent cx="102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-1653540</wp:posOffset>
            </wp:positionV>
            <wp:extent cx="1028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-1636395</wp:posOffset>
            </wp:positionV>
            <wp:extent cx="102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-1653540</wp:posOffset>
            </wp:positionV>
            <wp:extent cx="102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-1636395</wp:posOffset>
            </wp:positionV>
            <wp:extent cx="102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-1653540</wp:posOffset>
            </wp:positionV>
            <wp:extent cx="102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-1636395</wp:posOffset>
            </wp:positionV>
            <wp:extent cx="102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83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rPr>
              <w:t>Saia, Inc. and Subsidiaries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 30, 2025 and 2024</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(Amounts in thousands)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3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20"/>
                <w:szCs w:val="20"/>
                <w:color w:val="auto"/>
              </w:rPr>
            </w:pPr>
          </w:p>
        </w:tc>
        <w:tc>
          <w:tcPr>
            <w:tcW w:w="18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8"/>
                <w:szCs w:val="18"/>
                <w:color w:val="auto"/>
              </w:rPr>
              <w:t>Six Months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$279,815</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$237,242</w:t>
            </w:r>
          </w:p>
        </w:tc>
        <w:tc>
          <w:tcPr>
            <w:tcW w:w="0" w:type="dxa"/>
            <w:vAlign w:val="bottom"/>
          </w:tcPr>
          <w:p>
            <w:pPr>
              <w:spacing w:after="0"/>
              <w:rPr>
                <w:sz w:val="1"/>
                <w:szCs w:val="1"/>
                <w:color w:val="auto"/>
              </w:rPr>
            </w:pPr>
          </w:p>
        </w:tc>
      </w:tr>
      <w:tr>
        <w:trPr>
          <w:trHeight w:val="209"/>
        </w:trPr>
        <w:tc>
          <w:tcPr>
            <w:tcW w:w="83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279,815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237,242</w:t>
            </w:r>
          </w:p>
        </w:tc>
        <w:tc>
          <w:tcPr>
            <w:tcW w:w="0" w:type="dxa"/>
            <w:vAlign w:val="bottom"/>
          </w:tcPr>
          <w:p>
            <w:pPr>
              <w:spacing w:after="0"/>
              <w:rPr>
                <w:sz w:val="1"/>
                <w:szCs w:val="1"/>
                <w:color w:val="auto"/>
              </w:rPr>
            </w:pPr>
          </w:p>
        </w:tc>
      </w:tr>
      <w:tr>
        <w:trPr>
          <w:trHeight w:val="209"/>
        </w:trPr>
        <w:tc>
          <w:tcPr>
            <w:tcW w:w="8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Borders>
              <w:top w:val="single" w:sz="8" w:color="CFF0F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(377,540)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(681,919)</w:t>
            </w: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16"/>
        </w:trPr>
        <w:tc>
          <w:tcPr>
            <w:tcW w:w="8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0" w:type="dxa"/>
            <w:vAlign w:val="bottom"/>
          </w:tcPr>
          <w:p>
            <w:pPr>
              <w:spacing w:after="0"/>
              <w:rPr>
                <w:sz w:val="1"/>
                <w:szCs w:val="1"/>
                <w:color w:val="auto"/>
              </w:rPr>
            </w:pPr>
          </w:p>
        </w:tc>
      </w:tr>
      <w:tr>
        <w:trPr>
          <w:trHeight w:val="209"/>
        </w:trPr>
        <w:tc>
          <w:tcPr>
            <w:tcW w:w="8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(383,967)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(676,277)</w:t>
            </w:r>
          </w:p>
        </w:tc>
        <w:tc>
          <w:tcPr>
            <w:tcW w:w="0" w:type="dxa"/>
            <w:vAlign w:val="bottom"/>
          </w:tcPr>
          <w:p>
            <w:pPr>
              <w:spacing w:after="0"/>
              <w:rPr>
                <w:sz w:val="1"/>
                <w:szCs w:val="1"/>
                <w:color w:val="auto"/>
              </w:rPr>
            </w:pPr>
          </w:p>
        </w:tc>
      </w:tr>
      <w:tr>
        <w:trPr>
          <w:trHeight w:val="210"/>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Borrowing of revolving credit facility, net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 of private shelf agreement</w:t>
            </w:r>
          </w:p>
        </w:tc>
        <w:tc>
          <w:tcPr>
            <w:tcW w:w="280" w:type="dxa"/>
            <w:vAlign w:val="bottom"/>
          </w:tcPr>
          <w:p>
            <w:pPr>
              <w:spacing w:after="0"/>
              <w:rPr>
                <w:sz w:val="18"/>
                <w:szCs w:val="18"/>
                <w:color w:val="auto"/>
              </w:rPr>
            </w:pPr>
          </w:p>
        </w:tc>
        <w:tc>
          <w:tcPr>
            <w:tcW w:w="18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0" w:type="dxa"/>
            <w:vAlign w:val="bottom"/>
          </w:tcPr>
          <w:p>
            <w:pPr>
              <w:spacing w:after="0"/>
              <w:rPr>
                <w:sz w:val="1"/>
                <w:szCs w:val="1"/>
                <w:color w:val="auto"/>
              </w:rPr>
            </w:pPr>
          </w:p>
        </w:tc>
      </w:tr>
      <w:tr>
        <w:trPr>
          <w:trHeight w:val="216"/>
        </w:trPr>
        <w:tc>
          <w:tcPr>
            <w:tcW w:w="8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financing activity</w:t>
            </w:r>
          </w:p>
        </w:tc>
        <w:tc>
          <w:tcPr>
            <w:tcW w:w="2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0" w:type="dxa"/>
            <w:vAlign w:val="bottom"/>
          </w:tcPr>
          <w:p>
            <w:pPr>
              <w:spacing w:after="0"/>
              <w:rPr>
                <w:sz w:val="1"/>
                <w:szCs w:val="1"/>
                <w:color w:val="auto"/>
              </w:rPr>
            </w:pPr>
          </w:p>
        </w:tc>
      </w:tr>
      <w:tr>
        <w:trPr>
          <w:trHeight w:val="210"/>
        </w:trPr>
        <w:tc>
          <w:tcPr>
            <w:tcW w:w="8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103,516</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153,989</w:t>
            </w:r>
          </w:p>
        </w:tc>
        <w:tc>
          <w:tcPr>
            <w:tcW w:w="0" w:type="dxa"/>
            <w:vAlign w:val="bottom"/>
          </w:tcPr>
          <w:p>
            <w:pPr>
              <w:spacing w:after="0"/>
              <w:rPr>
                <w:sz w:val="1"/>
                <w:szCs w:val="1"/>
                <w:color w:val="auto"/>
              </w:rPr>
            </w:pPr>
          </w:p>
        </w:tc>
      </w:tr>
      <w:tr>
        <w:trPr>
          <w:trHeight w:val="209"/>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(285,046)</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296,215</w:t>
            </w:r>
          </w:p>
        </w:tc>
        <w:tc>
          <w:tcPr>
            <w:tcW w:w="0" w:type="dxa"/>
            <w:vAlign w:val="bottom"/>
          </w:tcPr>
          <w:p>
            <w:pPr>
              <w:spacing w:after="0"/>
              <w:rPr>
                <w:sz w:val="1"/>
                <w:szCs w:val="1"/>
                <w:color w:val="auto"/>
              </w:rPr>
            </w:pPr>
          </w:p>
        </w:tc>
      </w:tr>
      <w:tr>
        <w:trPr>
          <w:trHeight w:val="250"/>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$18,837</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0" w:type="dxa"/>
            <w:vAlign w:val="bottom"/>
          </w:tcPr>
          <w:p>
            <w:pPr>
              <w:spacing w:after="0"/>
              <w:rPr>
                <w:sz w:val="1"/>
                <w:szCs w:val="1"/>
                <w:color w:val="auto"/>
              </w:rPr>
            </w:pPr>
          </w:p>
        </w:tc>
      </w:tr>
      <w:tr>
        <w:trPr>
          <w:trHeight w:val="2309"/>
        </w:trPr>
        <w:tc>
          <w:tcPr>
            <w:tcW w:w="832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128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-3625215</wp:posOffset>
            </wp:positionV>
            <wp:extent cx="1714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-3068320</wp:posOffset>
            </wp:positionV>
            <wp:extent cx="1714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-2091055</wp:posOffset>
            </wp:positionV>
            <wp:extent cx="1714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-1516380</wp:posOffset>
            </wp:positionV>
            <wp:extent cx="1714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-1499870</wp:posOffset>
            </wp:positionV>
            <wp:extent cx="1714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Saia,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Quarters Ended June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10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rPr>
              <w:t>Second Quarter</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Second Quarter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8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9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Amount/Workday</w:t>
            </w:r>
          </w:p>
        </w:tc>
        <w:tc>
          <w:tcPr>
            <w:tcW w:w="12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Workdays</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87.8%</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tonnage (1)</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1,576</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1,559</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24.63</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24.36</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LTL shipments (1)</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2,261</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36.36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revenue/cwt.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$25.20</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$25.75</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LTL revenue/cwt., excluding fuel surcharge</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revenue/shipment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$351.36</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$345.07</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LTL revenue/shipment, excluding fuel surcharge</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$298.71</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$290.72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pounds/shipment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1,394</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1,340</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LTL length of haul (2)</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888</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00" w:hanging="453"/>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thousands.</w:t>
      </w:r>
    </w:p>
    <w:p>
      <w:pPr>
        <w:spacing w:after="0" w:line="90" w:lineRule="exact"/>
        <w:rPr>
          <w:rFonts w:ascii="Times New Roman" w:cs="Times New Roman" w:eastAsia="Times New Roman" w:hAnsi="Times New Roman"/>
          <w:sz w:val="18"/>
          <w:szCs w:val="18"/>
          <w:color w:val="auto"/>
        </w:rPr>
      </w:pPr>
    </w:p>
    <w:p>
      <w:pPr>
        <w:ind w:left="700" w:hanging="453"/>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miles.</w:t>
      </w:r>
    </w:p>
    <w:p>
      <w:pPr>
        <w:spacing w:after="0" w:line="90" w:lineRule="exact"/>
        <w:rPr>
          <w:sz w:val="20"/>
          <w:szCs w:val="20"/>
          <w:color w:val="auto"/>
        </w:rPr>
      </w:pPr>
    </w:p>
    <w:p>
      <w:pPr>
        <w:ind w:left="700" w:right="280" w:hanging="539"/>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Note:</w:t>
        <w:tab/>
        <w:t>LTL operating statistics exclude transportation and logistics services where pricing is generally not determined by weight. The LTL operating statistics also exclude the adjustment required for financial statement purposes in accordance with the Company's revenue recognition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2025-07-25T06:48:23Z</dcterms:created>
  <dcterms:modified xsi:type="dcterms:W3CDTF">2025-07-25T06:48:23Z</dcterms:modified>
</cp:coreProperties>
</file>