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6877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87705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Batteh Matthew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640"/>
        <w:spacing w:after="0" w:line="311" w:lineRule="auto"/>
        <w:rPr>
          <w:sz w:val="20"/>
          <w:szCs w:val="20"/>
          <w:color w:val="auto"/>
        </w:rPr>
      </w:pPr>
      <w:r>
        <w:rPr>
          <w:rFonts w:ascii="Times New Roman" w:cs="Times New Roman" w:eastAsia="Times New Roman" w:hAnsi="Times New Roman"/>
          <w:sz w:val="17"/>
          <w:szCs w:val="17"/>
          <w:color w:val="0000FF"/>
        </w:rPr>
        <w:t>11465 JOHNS CREEK PARKWAY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SAIA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SAIA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02/07/2025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42"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7"/>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80" w:type="dxa"/>
            <w:vAlign w:val="bottom"/>
            <w:gridSpan w:val="10"/>
          </w:tcPr>
          <w:p>
            <w:pPr>
              <w:ind w:left="3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JOHNS CREEK GA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30097</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76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53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4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02/07/2025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277"/>
              <w:spacing w:after="0"/>
              <w:rPr>
                <w:sz w:val="20"/>
                <w:szCs w:val="20"/>
                <w:color w:val="auto"/>
              </w:rPr>
            </w:pPr>
            <w:r>
              <w:rPr>
                <w:rFonts w:ascii="Times New Roman" w:cs="Times New Roman" w:eastAsia="Times New Roman" w:hAnsi="Times New Roman"/>
                <w:sz w:val="17"/>
                <w:szCs w:val="17"/>
                <w:color w:val="0000FF"/>
                <w:w w:val="90"/>
              </w:rPr>
              <w:t>780</w:t>
            </w:r>
            <w:r>
              <w:rPr>
                <w:rFonts w:ascii="Times New Roman" w:cs="Times New Roman" w:eastAsia="Times New Roman" w:hAnsi="Times New Roman"/>
                <w:sz w:val="21"/>
                <w:szCs w:val="21"/>
                <w:color w:val="008000"/>
                <w:w w:val="90"/>
                <w:vertAlign w:val="superscript"/>
              </w:rPr>
              <w:t>(1)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ind w:left="8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4,365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02/07/2025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277"/>
              <w:spacing w:after="0"/>
              <w:rPr>
                <w:sz w:val="20"/>
                <w:szCs w:val="20"/>
                <w:color w:val="auto"/>
              </w:rPr>
            </w:pPr>
            <w:r>
              <w:rPr>
                <w:rFonts w:ascii="Times New Roman" w:cs="Times New Roman" w:eastAsia="Times New Roman" w:hAnsi="Times New Roman"/>
                <w:sz w:val="17"/>
                <w:szCs w:val="17"/>
                <w:color w:val="0000FF"/>
                <w:w w:val="90"/>
              </w:rPr>
              <w:t>231</w:t>
            </w:r>
            <w:r>
              <w:rPr>
                <w:rFonts w:ascii="Times New Roman" w:cs="Times New Roman" w:eastAsia="Times New Roman" w:hAnsi="Times New Roman"/>
                <w:sz w:val="21"/>
                <w:szCs w:val="21"/>
                <w:color w:val="008000"/>
                <w:w w:val="90"/>
                <w:vertAlign w:val="superscript"/>
              </w:rPr>
              <w:t>(2)</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489.51</w:t>
            </w: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4,134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02/07/2025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277"/>
              <w:spacing w:after="0" w:line="312" w:lineRule="exact"/>
              <w:rPr>
                <w:sz w:val="20"/>
                <w:szCs w:val="20"/>
                <w:color w:val="auto"/>
              </w:rPr>
            </w:pPr>
            <w:r>
              <w:rPr>
                <w:rFonts w:ascii="Times New Roman" w:cs="Times New Roman" w:eastAsia="Times New Roman" w:hAnsi="Times New Roman"/>
                <w:sz w:val="33"/>
                <w:szCs w:val="33"/>
                <w:color w:val="0000FF"/>
                <w:w w:val="85"/>
                <w:vertAlign w:val="subscript"/>
              </w:rPr>
              <w:t>66</w:t>
            </w:r>
            <w:r>
              <w:rPr>
                <w:rFonts w:ascii="Times New Roman" w:cs="Times New Roman" w:eastAsia="Times New Roman" w:hAnsi="Times New Roman"/>
                <w:sz w:val="11"/>
                <w:szCs w:val="11"/>
                <w:color w:val="008000"/>
                <w:w w:val="85"/>
              </w:rPr>
              <w:t>(3)</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489.51</w:t>
            </w: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4,068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02/10/2025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277"/>
              <w:spacing w:after="0" w:line="312" w:lineRule="exact"/>
              <w:rPr>
                <w:sz w:val="20"/>
                <w:szCs w:val="20"/>
                <w:color w:val="auto"/>
              </w:rPr>
            </w:pPr>
            <w:r>
              <w:rPr>
                <w:rFonts w:ascii="Times New Roman" w:cs="Times New Roman" w:eastAsia="Times New Roman" w:hAnsi="Times New Roman"/>
                <w:sz w:val="33"/>
                <w:szCs w:val="33"/>
                <w:color w:val="0000FF"/>
                <w:w w:val="85"/>
                <w:vertAlign w:val="subscript"/>
              </w:rPr>
              <w:t>42</w:t>
            </w:r>
            <w:r>
              <w:rPr>
                <w:rFonts w:ascii="Times New Roman" w:cs="Times New Roman" w:eastAsia="Times New Roman" w:hAnsi="Times New Roman"/>
                <w:sz w:val="11"/>
                <w:szCs w:val="11"/>
                <w:color w:val="008000"/>
                <w:w w:val="85"/>
              </w:rPr>
              <w:t>(4)</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495.99</w:t>
            </w: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4,026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9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278.69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jc w:val="center"/>
              <w:ind w:left="140"/>
              <w:spacing w:after="0"/>
              <w:rPr>
                <w:sz w:val="20"/>
                <w:szCs w:val="20"/>
                <w:color w:val="auto"/>
              </w:rPr>
            </w:pPr>
            <w:r>
              <w:rPr>
                <w:rFonts w:ascii="Times New Roman" w:cs="Times New Roman" w:eastAsia="Times New Roman" w:hAnsi="Times New Roman"/>
                <w:sz w:val="13"/>
                <w:szCs w:val="13"/>
                <w:color w:val="0000FF"/>
              </w:rPr>
              <w:t>278.69</w:t>
            </w:r>
          </w:p>
        </w:tc>
        <w:tc>
          <w:tcPr>
            <w:tcW w:w="260" w:type="dxa"/>
            <w:vAlign w:val="bottom"/>
          </w:tcPr>
          <w:p>
            <w:pPr>
              <w:spacing w:after="0"/>
              <w:rPr>
                <w:sz w:val="21"/>
                <w:szCs w:val="21"/>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Borders>
              <w:bottom w:val="single" w:sz="8" w:color="2C2C2C"/>
            </w:tcBorders>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277.86</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02/07/2029</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470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rPr>
              <w:t>470</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200.81</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02/11/2028</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rPr>
              <w:t>500</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100.2</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02/06/2027</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1,110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w w:val="95"/>
              </w:rPr>
              <w:t>1,110</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Issuance of Performance Unit Awards under the 2018 Omnibus Incentive Plan for the 1/1/22-12/31/24 performance period.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at officer's election to cover tax liabilities incurred upon the issuance of Performance Unit Awards under the 2018 Omnibus Incentive Plan for the 1/1/22-12/31/24 performance period.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at officer's election to cover tax liabilities incurred in connection with the vesting of restricted shares awarded in February 2022.</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at officer's election to cover tax liabilities incurred in connection with the vesting of restricted shares awarded in February 2023.</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conversion rate of this derivative security on February 7, 2025 is 1.1301 resulting in 314.949 shares of common stock (underlying security in column 7).</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Immediate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phantom stock become payable in the Company's common stock upon reporting person's termination of service as an employee, in accordance with the terms of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granted as part of the long-term incentive program approved by the Compensation Committee. One-third of the award vests each year on the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Kelly W. Benton</w:t>
            </w:r>
          </w:p>
        </w:tc>
        <w:tc>
          <w:tcPr>
            <w:tcW w:w="8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02/11/2025</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28"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2799"/>
        <w:spacing w:after="0" w:line="30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Frederick J. Holzgrefe, III and Kelly Benton, signing singly, the undersigned's true and lawful attorney-in-fact to:</w:t>
      </w:r>
    </w:p>
    <w:p>
      <w:pPr>
        <w:spacing w:after="0" w:line="58" w:lineRule="exact"/>
        <w:rPr>
          <w:sz w:val="20"/>
          <w:szCs w:val="20"/>
          <w:color w:val="auto"/>
        </w:rPr>
      </w:pPr>
    </w:p>
    <w:p>
      <w:pPr>
        <w:ind w:left="100" w:right="2499" w:hanging="96"/>
        <w:spacing w:after="0" w:line="26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Saia, Inc. (the</w:t>
      </w:r>
    </w:p>
    <w:p>
      <w:pPr>
        <w:spacing w:after="0" w:line="1" w:lineRule="exact"/>
        <w:rPr>
          <w:sz w:val="20"/>
          <w:szCs w:val="20"/>
          <w:color w:val="auto"/>
        </w:rPr>
      </w:pPr>
    </w:p>
    <w:p>
      <w:pPr>
        <w:ind w:right="2599"/>
        <w:spacing w:after="0" w:line="243" w:lineRule="auto"/>
        <w:rPr>
          <w:sz w:val="20"/>
          <w:szCs w:val="20"/>
          <w:color w:val="auto"/>
        </w:rPr>
      </w:pPr>
      <w:r>
        <w:rPr>
          <w:rFonts w:ascii="Courier New" w:cs="Courier New" w:eastAsia="Courier New" w:hAnsi="Courier New"/>
          <w:sz w:val="17"/>
          <w:szCs w:val="17"/>
          <w:color w:val="auto"/>
        </w:rPr>
        <w:t>"Company"), Forms ID, 3, 4, and 5 in accordance with Section 16(a) of the Securities Exchange Act of 1934 and the rules thereunder;</w:t>
      </w:r>
    </w:p>
    <w:p>
      <w:pPr>
        <w:ind w:right="2799" w:firstLine="4"/>
        <w:spacing w:after="0" w:line="258" w:lineRule="auto"/>
        <w:tabs>
          <w:tab w:leader="none" w:pos="81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w:t>
      </w:r>
    </w:p>
    <w:p>
      <w:pPr>
        <w:ind w:left="100" w:right="2079" w:hanging="101"/>
        <w:spacing w:after="0" w:line="25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Form ID, 3, 4, or 5, complete and execute any amendment or amendments thereto, and timely file such form with the United States Securities</w:t>
      </w: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and Exchange Commission and any stock exchange or similar authority; and</w:t>
      </w:r>
    </w:p>
    <w:p>
      <w:pPr>
        <w:spacing w:after="0" w:line="2" w:lineRule="exact"/>
        <w:rPr>
          <w:rFonts w:ascii="Courier New" w:cs="Courier New" w:eastAsia="Courier New" w:hAnsi="Courier New"/>
          <w:sz w:val="16"/>
          <w:szCs w:val="16"/>
          <w:color w:val="auto"/>
        </w:rPr>
      </w:pPr>
    </w:p>
    <w:p>
      <w:pPr>
        <w:ind w:left="820" w:hanging="816"/>
        <w:spacing w:after="0"/>
        <w:tabs>
          <w:tab w:leader="none" w:pos="8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2" w:lineRule="exact"/>
        <w:rPr>
          <w:sz w:val="20"/>
          <w:szCs w:val="20"/>
          <w:color w:val="auto"/>
        </w:rPr>
      </w:pPr>
    </w:p>
    <w:p>
      <w:pPr>
        <w:ind w:right="2399"/>
        <w:spacing w:after="0" w:line="277" w:lineRule="auto"/>
        <w:rPr>
          <w:sz w:val="20"/>
          <w:szCs w:val="20"/>
          <w:color w:val="auto"/>
        </w:rPr>
      </w:pPr>
      <w:r>
        <w:rPr>
          <w:rFonts w:ascii="Courier New" w:cs="Courier New" w:eastAsia="Courier New" w:hAnsi="Courier New"/>
          <w:sz w:val="16"/>
          <w:szCs w:val="16"/>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0" w:lineRule="exact"/>
        <w:rPr>
          <w:sz w:val="20"/>
          <w:szCs w:val="20"/>
          <w:color w:val="auto"/>
        </w:rPr>
      </w:pPr>
    </w:p>
    <w:p>
      <w:pPr>
        <w:ind w:right="2499" w:firstLine="811"/>
        <w:spacing w:after="0" w:line="25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01"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This Power of Attorney shall remain in full force and</w:t>
      </w:r>
    </w:p>
    <w:p>
      <w:pPr>
        <w:spacing w:after="0" w:line="32" w:lineRule="exact"/>
        <w:rPr>
          <w:sz w:val="20"/>
          <w:szCs w:val="20"/>
          <w:color w:val="auto"/>
        </w:rPr>
      </w:pPr>
    </w:p>
    <w:p>
      <w:pPr>
        <w:ind w:right="2499"/>
        <w:spacing w:after="0" w:line="243" w:lineRule="auto"/>
        <w:rPr>
          <w:sz w:val="20"/>
          <w:szCs w:val="20"/>
          <w:color w:val="auto"/>
        </w:rPr>
      </w:pPr>
      <w:r>
        <w:rPr>
          <w:rFonts w:ascii="Courier New" w:cs="Courier New" w:eastAsia="Courier New" w:hAnsi="Courier New"/>
          <w:sz w:val="17"/>
          <w:szCs w:val="17"/>
          <w:color w:val="auto"/>
        </w:rPr>
        <w:t>effect until the undersigned is no longer required to file Forms ID, 3, 4, and 5 with respect to the undersigned's holdings of and transactions</w:t>
      </w:r>
    </w:p>
    <w:p>
      <w:pPr>
        <w:ind w:right="3299"/>
        <w:spacing w:after="0" w:line="281" w:lineRule="auto"/>
        <w:rPr>
          <w:sz w:val="20"/>
          <w:szCs w:val="20"/>
          <w:color w:val="auto"/>
        </w:rPr>
      </w:pPr>
      <w:r>
        <w:rPr>
          <w:rFonts w:ascii="Courier New" w:cs="Courier New" w:eastAsia="Courier New" w:hAnsi="Courier New"/>
          <w:sz w:val="17"/>
          <w:szCs w:val="17"/>
          <w:color w:val="auto"/>
        </w:rPr>
        <w:t>in securities issued by the Company, unless earlier revoked by the undersigned in a signed writing delivered to the foregoing attorneys-in-fact.</w:t>
      </w:r>
    </w:p>
    <w:p>
      <w:pPr>
        <w:spacing w:after="0" w:line="74"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 to be executed as of this 13th day of May, 2024.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Matthew J. Batteh</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Matthew J. Batteh</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3395" TargetMode="External"/><Relationship Id="rId14" Type="http://schemas.openxmlformats.org/officeDocument/2006/relationships/hyperlink" Target="http://www.sec.gov/cgi-bin/browse-edgar?action=getcompany&amp;CIK=0001177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2025-02-11T15:32:19Z</dcterms:created>
  <dcterms:modified xsi:type="dcterms:W3CDTF">2025-02-11T15:32:19Z</dcterms:modified>
</cp:coreProperties>
</file>