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SAIA,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0-49983</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48-1229851</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11465 Johns Creek Parkway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Johns Creek, Georgia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30097</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770 232-5067</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 Changes.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SAIA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707390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October 30, 2025 Saia, Inc. issued a press release announcing its third quarter 2025 results. A copy of the press release is attached as Exhibit 99.1 to this Report on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 of the Registrant under the Securities Act of 1933, as amended, of the Exchange Act, except as otherwise expressly stated in any such filing.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of Saia, Inc. dated October 30, 2025 announcing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38138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13810" cy="8255"/>
                    </a:xfrm>
                    <a:prstGeom prst="rect">
                      <a:avLst/>
                    </a:prstGeom>
                    <a:noFill/>
                  </pic:spPr>
                </pic:pic>
              </a:graphicData>
            </a:graphic>
          </wp:anchor>
        </w:drawing>
      </w:r>
    </w:p>
    <w:p>
      <w:pPr>
        <w:spacing w:after="0" w:line="205" w:lineRule="exact"/>
        <w:rPr>
          <w:sz w:val="20"/>
          <w:szCs w:val="20"/>
          <w:color w:val="auto"/>
        </w:rPr>
      </w:pPr>
    </w:p>
    <w:p>
      <w:pPr>
        <w:ind w:left="1160" w:hanging="1152"/>
        <w:spacing w:after="0"/>
        <w:tabs>
          <w:tab w:leader="none" w:pos="11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24" w:right="49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SAIA, INC.</w:t>
      </w:r>
    </w:p>
    <w:p>
      <w:pPr>
        <w:spacing w:after="0" w:line="279" w:lineRule="exact"/>
        <w:rPr>
          <w:sz w:val="20"/>
          <w:szCs w:val="20"/>
          <w:color w:val="auto"/>
        </w:rPr>
      </w:pPr>
    </w:p>
    <w:p>
      <w:pPr>
        <w:ind w:left="4400"/>
        <w:spacing w:after="0"/>
        <w:tabs>
          <w:tab w:leader="none" w:pos="6980" w:val="left"/>
        </w:tabs>
        <w:rPr>
          <w:sz w:val="20"/>
          <w:szCs w:val="20"/>
          <w:color w:val="auto"/>
        </w:rPr>
      </w:pPr>
      <w:r>
        <w:rPr>
          <w:rFonts w:ascii="Times New Roman" w:cs="Times New Roman" w:eastAsia="Times New Roman" w:hAnsi="Times New Roman"/>
          <w:sz w:val="18"/>
          <w:szCs w:val="18"/>
          <w:color w:val="auto"/>
        </w:rPr>
        <w:t>Date: October 30, 2025</w:t>
      </w:r>
      <w:r>
        <w:rPr>
          <w:sz w:val="20"/>
          <w:szCs w:val="20"/>
          <w:color w:val="auto"/>
        </w:rPr>
        <w:tab/>
      </w:r>
      <w:r>
        <w:rPr>
          <w:rFonts w:ascii="Times New Roman" w:cs="Times New Roman" w:eastAsia="Times New Roman" w:hAnsi="Times New Roman"/>
          <w:sz w:val="17"/>
          <w:szCs w:val="17"/>
          <w:color w:val="auto"/>
        </w:rPr>
        <w:t>/s/ Kelly W. Benton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17145</wp:posOffset>
            </wp:positionV>
            <wp:extent cx="26917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1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Kelly W. Benton</w:t>
      </w:r>
    </w:p>
    <w:p>
      <w:pPr>
        <w:spacing w:after="0" w:line="36"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188" w:right="1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431165</wp:posOffset>
            </wp:positionV>
            <wp:extent cx="1276985" cy="1388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698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9"/>
          <w:szCs w:val="29"/>
          <w:b w:val="1"/>
          <w:bCs w:val="1"/>
          <w:color w:val="auto"/>
        </w:rPr>
        <w:t>Saia Reports Third Quarter Results</w:t>
      </w:r>
    </w:p>
    <w:p>
      <w:pPr>
        <w:spacing w:after="0" w:line="2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JOHNS CREEK, GA – October 30, 2025 – Saia, Inc. (Nasdaq: SAIA), a leading transportation provider offering national less-than-truckload (LTL), non-asset truckload, expedited and logistics services, today reported third quarter 2025 financial results. Diluted earnings per share for the quarter were $3.22 compared to $3.46 in the third quarter of 2024. Excluding a net gain on real estate recorded in the third quarter of 2025, adjusted diluted earnings per share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for the quarter were $2.81.</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Highlights from the third quarter operating results were as follows: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Third Quarter 2025 Compared to Third Quarter 2024 Results</w:t>
      </w:r>
    </w:p>
    <w:p>
      <w:pPr>
        <w:spacing w:after="0" w:line="237"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was $839.6 million, a 0.3% decrease</w:t>
      </w:r>
    </w:p>
    <w:p>
      <w:pPr>
        <w:spacing w:after="0" w:line="14"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income was $118.6 million, a 5.2% decrease</w:t>
      </w:r>
    </w:p>
    <w:p>
      <w:pPr>
        <w:spacing w:after="0" w:line="5" w:lineRule="exact"/>
        <w:rPr>
          <w:rFonts w:ascii="Times New Roman" w:cs="Times New Roman" w:eastAsia="Times New Roman" w:hAnsi="Times New Roman"/>
          <w:sz w:val="22"/>
          <w:szCs w:val="22"/>
          <w:color w:val="auto"/>
        </w:rPr>
      </w:pPr>
    </w:p>
    <w:p>
      <w:pPr>
        <w:ind w:left="760" w:hanging="378"/>
        <w:spacing w:after="0" w:line="209"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Excluding a net gain on real estate, adjusted operating income</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was $104.1 million, a 16.8% decrease</w:t>
      </w:r>
    </w:p>
    <w:p>
      <w:pPr>
        <w:spacing w:after="0" w:line="1" w:lineRule="exact"/>
        <w:rPr>
          <w:rFonts w:ascii="Times New Roman" w:cs="Times New Roman" w:eastAsia="Times New Roman" w:hAnsi="Times New Roman"/>
          <w:sz w:val="22"/>
          <w:szCs w:val="22"/>
          <w:color w:val="auto"/>
        </w:rPr>
      </w:pPr>
    </w:p>
    <w:p>
      <w:pPr>
        <w:ind w:left="760" w:hanging="378"/>
        <w:spacing w:after="0" w:line="181"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ratio of 85.9% and adjusted operating ratio</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87.6% compared to 85.1%</w:t>
      </w:r>
    </w:p>
    <w:p>
      <w:pPr>
        <w:ind w:left="760" w:hanging="378"/>
        <w:spacing w:after="0" w:line="230"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LTL shipments per workday decreased 1.9%</w:t>
      </w:r>
    </w:p>
    <w:p>
      <w:pPr>
        <w:ind w:left="760" w:hanging="378"/>
        <w:spacing w:after="0" w:line="230"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LTL tonnage per workday decreased 1.5%</w:t>
      </w:r>
    </w:p>
    <w:p>
      <w:pPr>
        <w:ind w:left="760" w:hanging="378"/>
        <w:spacing w:after="0" w:line="230" w:lineRule="auto"/>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LTL revenue per hundredweight, excluding fuel surcharge revenue, decreased 0.1%</w:t>
      </w:r>
    </w:p>
    <w:p>
      <w:pPr>
        <w:ind w:left="760" w:hanging="378"/>
        <w:spacing w:after="0"/>
        <w:tabs>
          <w:tab w:leader="none" w:pos="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LTL revenue per shipment, excluding fuel surcharge revenue, increased 0.3%</w:t>
      </w:r>
    </w:p>
    <w:p>
      <w:pPr>
        <w:spacing w:after="0" w:line="20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Saia President and CEO, Fritz Holzgrefe, commented on the quarter stating, "I was pleased with our team's ability to focus on what was within our control throughout the quarter. We remain intently focused on the customer, while at the same time maintaining cost management and improving core execution."</w:t>
      </w:r>
    </w:p>
    <w:p>
      <w:pPr>
        <w:spacing w:after="0" w:line="20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saw continued benefits from our ongoing investments in technology and network optimization efforts. These initiatives continued to drive improved efficiency across our national footprint, while also enhancing the customer experience. Our national footprint will continue to scale moving forward, aligning with our long term strategy of getting closer to the customer, providing unique solutions to meet their needs and getting more opportunities as a result of these investments."</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Executive Vice President and CFO, Matt Batteh, noted that, "We continue to experience volume and revenue growth in our ramping markets, and we are pleased with the progress of our 2024 terminal openings, many of which have just completed their first year of operations. Customers continue to see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Saia, Inc. Third Quarter 2025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value of our expanded network, and our customer first focus puts us in a great position to provide unique solutions across all markets for years to 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Position and Capital Expenditures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ended the third quarter of 2025 with $35.5 million of cash on hand and total debt of $219.2 million, which compares to $14.4 million of cash on hand and total debt of $191.0 million at September 30, 2024.</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Net capital expenditures were $446.1 million during the first nine months of 2025, compared to $873.2 million in net capital expenditures during the first nine months of 2024. In 2025, we anticipate that net capital expenditures will be approximately $550 million to $600 million, subject to ongoing evaluation of market conditions.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Conference Call</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Management will hold a conference call to discuss quarterly results today at 10:00 a.m. Eastern Time. To participate in the call, please dial 1-833-890-5317 and request to join the Saia, Inc. call. Callers should dial in five to ten minutes in advance of the conference call. This call will be webcast live via the Company website at </w:t>
      </w:r>
      <w:r>
        <w:rPr>
          <w:rFonts w:ascii="Times New Roman" w:cs="Times New Roman" w:eastAsia="Times New Roman" w:hAnsi="Times New Roman"/>
          <w:sz w:val="21"/>
          <w:szCs w:val="21"/>
          <w:b w:val="1"/>
          <w:bCs w:val="1"/>
          <w:color w:val="auto"/>
        </w:rPr>
        <w:t>www.saia.com/about-us/investor-relations/financial-releases</w:t>
      </w:r>
      <w:r>
        <w:rPr>
          <w:rFonts w:ascii="Times New Roman" w:cs="Times New Roman" w:eastAsia="Times New Roman" w:hAnsi="Times New Roman"/>
          <w:sz w:val="21"/>
          <w:szCs w:val="21"/>
          <w:color w:val="auto"/>
        </w:rPr>
        <w:t>. A replay of the call will be offered two hours after the completion of the call through November 30,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2025 at 11:59 P.M. Eastern Time. The replay will be available by dialing 1-877-344-7529 referencing conference ID #5795490.</w:t>
      </w:r>
    </w:p>
    <w:p>
      <w:pPr>
        <w:spacing w:after="0" w:line="1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Saia, Inc. (NASDAQ: SAIA) offers customers a wide range of less-than-truckload, non-asset truckload, expedited and logistics services. With headquarters in Georgia, Saia LTL Freight operates 213 terminals with national service. For more information on Saia, Inc. visit the Investor Relations section at www.saia.com/about-us/investor-relations.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Securities and Exchange Commission encourages companies to disclose forward-looking information so that investors can better understand the future prospects of a company and make informed investment decisions. This news release may contain these types of statements, which are “forward-looking statements” within the meaning of the Private Securities Litigation Reform Act of 1995.</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Words such as “anticipate,” “estimate,” “expect,” “project,” “intend,” “may,” “plan,” “predict,” “believe,” “should,” “potential” and similar words or expressions are intended to identify forward-looking statements. Investors should not place undue reliance on forward-looking statements and the Company undertakes no obligation to publicly update or revise any forward-looking statements, except as required by law. All forward-looking statements reflect the present expectation of future events of our management as of the date of this news release and are subject to a number of important factors, risks, uncertainties and assumptions that could cause actual results to differ materially from those described in any forward-looking statements. These factors, risks, uncertainties and assumptions include, but are not limited to, (1) general economic conditions including downturns or inflationary periods in the business cycle; (2) operation within a highly competitive industry and the adverse impact from downward pricing pressures, including in connection with fuel surcharges, and other factors; (3) industry-wide external factors largely out of our control; (4) cost and availability of qualified drivers, dock workers, mechanics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Saia, Inc. Third Quarter 2025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2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employees, purchased transportation and fuel; (5) inflationary increases in expenses and corresponding reductions of profitability; (6) cost and availability of diesel fuel and fuel surcharges; (7) cost and availability of insurance coverage and claims expenses and other expense volatility, including for personal injury, cargo loss and damage, workers’ compensation, employment and group health plan claims; (8) failure to successfully execute the strategy to expand our service geography; (9) unexpected liabilities resulting from the acquisition of real estate assets; (10) costs and liabilities from the disruption in or failure of our technology or equipment essential to our operations, including as a result of cyber incidents, security breaches, malware or ransomware attacks; (11) risks arising from remote work, including increased risk of related cybersecurity incidents; (12) failure to keep pace with technological developments; (13) liabilities and costs arising from the use of artificial intelligence; (14) labor relations, including the adverse impact should a portion of our workforce become unionized; (15) cost, availability and resale value of real property and revenue equipment; (16) supply chain disruption and delays on new equipment delivery; (17) capacity and highway infrastructure constraints; (18) changes in U.S. trade policy and the impact of tariffs; (19) risks arising from international business operations and relationships; (20) seasonal factors, harsh weather and disasters caused by climate change;</w:t>
      </w:r>
    </w:p>
    <w:p>
      <w:pPr>
        <w:spacing w:after="0" w:line="6" w:lineRule="exact"/>
        <w:rPr>
          <w:sz w:val="20"/>
          <w:szCs w:val="20"/>
          <w:color w:val="auto"/>
        </w:rPr>
      </w:pPr>
    </w:p>
    <w:p>
      <w:pPr>
        <w:jc w:val="both"/>
        <w:ind w:firstLine="8"/>
        <w:spacing w:after="0" w:line="241" w:lineRule="auto"/>
        <w:tabs>
          <w:tab w:leader="none" w:pos="43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creditworthiness of our customers and their ability to pay for services; (22) our need for capital and uncertainty of the credit markets; (23) the possibility of defaults under our debt agreements, including violation of financial covenants; (24) inaccuracies and changes to estimates and assumptions used in preparing our financial statements; (25) failure to operate and grow acquired businesses in a manner that support the value allocated to acquired businesses; (26) dependence on key employees; (27) employee turnover from changes to compensation and benefits or market factors; (28) increased costs of healthcare benefits; (29) damage to our reputation from adverse publicity, including from the use of or impact from social media;</w:t>
      </w:r>
    </w:p>
    <w:p>
      <w:pPr>
        <w:spacing w:after="0" w:line="3" w:lineRule="exact"/>
        <w:rPr>
          <w:rFonts w:ascii="Times New Roman" w:cs="Times New Roman" w:eastAsia="Times New Roman" w:hAnsi="Times New Roman"/>
          <w:sz w:val="21"/>
          <w:szCs w:val="21"/>
          <w:color w:val="auto"/>
        </w:rPr>
      </w:pPr>
    </w:p>
    <w:p>
      <w:pPr>
        <w:jc w:val="both"/>
        <w:ind w:firstLine="8"/>
        <w:spacing w:after="0" w:line="241" w:lineRule="auto"/>
        <w:tabs>
          <w:tab w:leader="none" w:pos="41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failure to achieve acquisition synergies or disruption to our business due to such acquisitions; (31) the effect of litigation and class action lawsuits arising from the operation of our business, including the possibility of claims or judgments in excess of our insurance coverages or that result in increases in the cost of insurance coverage or that preclude us from obtaining adequate insurance coverage in the future; (32) the potential of higher corporate taxes and new regulations, including with respect to climate change, employment and labor law, healthcare and securities regulation; (33) the effect of governmental regulations, including hours of service and licensing compliance for drivers, engine emissions, the Compliance, Safety, Accountability (CSA) initiative, regulations of the Food and Drug Administration and Homeland Security, and healthcare and environmental regulations; (34) unforeseen costs from new and existing data privacy laws; (35) changes to the way LTL freight is categorized;</w:t>
      </w:r>
    </w:p>
    <w:p>
      <w:pPr>
        <w:spacing w:after="0" w:line="4" w:lineRule="exact"/>
        <w:rPr>
          <w:rFonts w:ascii="Times New Roman" w:cs="Times New Roman" w:eastAsia="Times New Roman" w:hAnsi="Times New Roman"/>
          <w:sz w:val="21"/>
          <w:szCs w:val="21"/>
          <w:color w:val="auto"/>
        </w:rPr>
      </w:pPr>
    </w:p>
    <w:p>
      <w:pPr>
        <w:jc w:val="both"/>
        <w:ind w:firstLine="8"/>
        <w:spacing w:after="0" w:line="241" w:lineRule="auto"/>
        <w:tabs>
          <w:tab w:leader="none" w:pos="42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from new and existing laws regarding how to classify workers; (37) changes in accounting and financial standards or practices; (38) widespread outbreak of an illness or any other communicable disease; (39) international conflicts and geopolitical instability; (40) evolving stakeholder expectations regarding environmental and social issues; (41) provisions in our governing documents and Delaware law that may have anti-takeover effects; (42) issuances of equity that would dilute stock ownership;</w:t>
      </w:r>
    </w:p>
    <w:p>
      <w:pPr>
        <w:spacing w:after="0" w:line="2" w:lineRule="exact"/>
        <w:rPr>
          <w:rFonts w:ascii="Times New Roman" w:cs="Times New Roman" w:eastAsia="Times New Roman" w:hAnsi="Times New Roman"/>
          <w:sz w:val="21"/>
          <w:szCs w:val="21"/>
          <w:color w:val="auto"/>
        </w:rPr>
      </w:pPr>
    </w:p>
    <w:p>
      <w:pPr>
        <w:ind w:firstLine="8"/>
        <w:spacing w:after="0" w:line="237" w:lineRule="auto"/>
        <w:tabs>
          <w:tab w:leader="none" w:pos="417"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weakness, disruption or loss of confidence in financial or credit markets; and (44) other financial, operational and legal risks and uncertainties detailed from time to time in the Company’s SEC filings.</w:t>
      </w:r>
    </w:p>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As a result of these and other factors, no assurance can be given as to our future results and achievements. Accordingly, a forward-looking statement is neither a prediction nor a guarantee of future events or circumstances and those future events or circumstances may not occur. You should not place undue reliance on the forward-looking statements, which speak only as of the date of this news release. We are under no obligation, and we expressly disclaim any obligation, to update or alter any forward-looking statements, whether as a result of new information, future events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Saia, Inc. Third Quarter 2025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55"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33"/>
          <w:szCs w:val="33"/>
          <w:b w:val="1"/>
          <w:bCs w:val="1"/>
          <w:color w:val="auto"/>
          <w:vertAlign w:val="superscript"/>
        </w:rPr>
      </w:pPr>
      <w:r>
        <w:rPr>
          <w:rFonts w:ascii="Times New Roman" w:cs="Times New Roman" w:eastAsia="Times New Roman" w:hAnsi="Times New Roman"/>
          <w:sz w:val="22"/>
          <w:szCs w:val="22"/>
          <w:b w:val="1"/>
          <w:bCs w:val="1"/>
          <w:color w:val="auto"/>
        </w:rPr>
        <w:t>Non-GAAP Financial Disclosure and Reconciliation:</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From time to time we supplement the reporting of our financial information determined under generally accepted accounting principles (“GAAP”) with certain non-GAAP financial measures. These include “adjusted” total operating expenses, “adjusted” operating income, “adjusted” diluted earnings per share, and "adjusted" operating ratio. The Company’s management believes that certain non-GAAP financial measures provide a greater understanding of ongoing operations and enhance comparability of results with prior periods. The Company’s management believes that investors may use these non-GAAP financial measures to evaluate the Company’s financial performance without the impact of items that may obscure trends in the Company’s underlying performance. These disclosures should not be viewed as a substitute for financial measures determined in accordance with GAAP, nor are they necessarily comparable to non-GAAP performance measures that may be presented by other companies.</w:t>
      </w:r>
    </w:p>
    <w:p>
      <w:pPr>
        <w:spacing w:after="0" w:line="17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 gain from the sale of a terminal of $16.4 million and a loss on real estate impairment of $1.9 million was recorded during the third quarter of 2025. This resulted in a decrease in operating expenses and an increase in operating income of $14.5 million, an increase in diluted earnings per share of $0.41 and an improvement of 170 basis points in the operating ratio for the third quarter. The terminal sale occurred as the result of management’s efforts towards expanding door count by replacing a smaller facility with a larger facility better positioned to successfully support the Company’s overall strategy. The impairment loss came as a result of management's continued assessment of the recoverability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1011555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Saia, Inc. Third Quarter 2025 Results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00" w:type="dxa"/>
            <w:vAlign w:val="bottom"/>
            <w:gridSpan w:val="4"/>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rPr>
              <w:t>Saia, Inc. and Subsidiaries</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360" w:type="dxa"/>
            <w:vAlign w:val="bottom"/>
            <w:gridSpan w:val="10"/>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rPr>
              <w:t>Reconciliation of Certain GAAP and Non-GAAP Statement of Operations Items, Ratios and Operating Data</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7"/>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For the Quarters and Nine Months Ended September 30, 2025 and 2024</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7"/>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(Amounts in thousands, except per share data, operating ratio and cost per shipment)</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00" w:type="dxa"/>
            <w:vAlign w:val="bottom"/>
            <w:gridSpan w:val="4"/>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0" w:type="dxa"/>
            <w:vAlign w:val="bottom"/>
          </w:tcPr>
          <w:p>
            <w:pPr>
              <w:spacing w:after="0"/>
              <w:rPr>
                <w:sz w:val="20"/>
                <w:szCs w:val="20"/>
                <w:color w:val="auto"/>
              </w:rPr>
            </w:pPr>
          </w:p>
        </w:tc>
        <w:tc>
          <w:tcPr>
            <w:tcW w:w="19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color w:val="auto"/>
              </w:rPr>
              <w:t>Third Quarter</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color w:val="auto"/>
                <w:w w:val="99"/>
              </w:rPr>
              <w:t>Nine Months</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 (GAAP)</w:t>
            </w: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94"/>
              </w:rPr>
              <w:t>2024</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$721,034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$716,932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$2,156,157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$2,039,446</w:t>
            </w:r>
          </w:p>
        </w:tc>
        <w:tc>
          <w:tcPr>
            <w:tcW w:w="0" w:type="dxa"/>
            <w:vAlign w:val="bottom"/>
          </w:tcPr>
          <w:p>
            <w:pPr>
              <w:spacing w:after="0"/>
              <w:rPr>
                <w:sz w:val="1"/>
                <w:szCs w:val="1"/>
                <w:color w:val="auto"/>
              </w:rPr>
            </w:pPr>
          </w:p>
        </w:tc>
      </w:tr>
      <w:tr>
        <w:trPr>
          <w:trHeight w:val="198"/>
        </w:trPr>
        <w:tc>
          <w:tcPr>
            <w:tcW w:w="5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Add: Net total operating expense impact of Gain on Real Estate Disposal</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120" w:type="dxa"/>
            <w:vAlign w:val="bottom"/>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Impairment of Real Estate</w:t>
            </w:r>
          </w:p>
        </w:tc>
        <w:tc>
          <w:tcPr>
            <w:tcW w:w="13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Adjusted total operating expenses (Non-GAAP)</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$735,537</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$716,932</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$2,170,660</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$2,039,446</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 (GAAP)</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$118,610</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$125,171</w:t>
            </w:r>
          </w:p>
        </w:tc>
        <w:tc>
          <w:tcPr>
            <w:tcW w:w="160" w:type="dxa"/>
            <w:vAlign w:val="bottom"/>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$288,177</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$380,676</w:t>
            </w: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Operating Income impact of Gain on Real Estate Disposal and</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Real Estate</w:t>
            </w: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operating income (Non-GAAP)</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$104,107</w:t>
            </w: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$125,171</w:t>
            </w:r>
          </w:p>
        </w:tc>
        <w:tc>
          <w:tcPr>
            <w:tcW w:w="160" w:type="dxa"/>
            <w:vAlign w:val="bottom"/>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$273,674</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$380,676</w:t>
            </w:r>
          </w:p>
        </w:tc>
        <w:tc>
          <w:tcPr>
            <w:tcW w:w="0" w:type="dxa"/>
            <w:vAlign w:val="bottom"/>
          </w:tcPr>
          <w:p>
            <w:pPr>
              <w:spacing w:after="0"/>
              <w:rPr>
                <w:sz w:val="1"/>
                <w:szCs w:val="1"/>
                <w:color w:val="auto"/>
              </w:rPr>
            </w:pPr>
          </w:p>
        </w:tc>
      </w:tr>
      <w:tr>
        <w:trPr>
          <w:trHeight w:val="413"/>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(GAAP)</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198"/>
        </w:trPr>
        <w:tc>
          <w:tcPr>
            <w:tcW w:w="56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Net Diluted earnings per share impact of Gain on Real Estate</w:t>
            </w: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Disposal and Impairment of Real Estate</w:t>
            </w:r>
          </w:p>
        </w:tc>
        <w:tc>
          <w:tcPr>
            <w:tcW w:w="13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earnings per share (Non-GAAP)</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Ratio (1)</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Net Operating Ratio impact of Gain on Real Estate Disposal and</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Real Estate</w:t>
            </w: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operating ratio</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per shipment (2)</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$309.06</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160" w:type="dxa"/>
            <w:vAlign w:val="bottom"/>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$318.77</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$299.32</w:t>
            </w: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Net cost per shipment impact of Gain on Real Estate Disposal and</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Real Estate</w:t>
            </w:r>
          </w:p>
        </w:tc>
        <w:tc>
          <w:tcPr>
            <w:tcW w:w="13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cost per shipment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$315.28</w:t>
            </w: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$301.36</w:t>
            </w:r>
          </w:p>
        </w:tc>
        <w:tc>
          <w:tcPr>
            <w:tcW w:w="160" w:type="dxa"/>
            <w:vAlign w:val="bottom"/>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$320.91</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-3016885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-2159635</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-2142490</wp:posOffset>
            </wp:positionV>
            <wp:extent cx="77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-2159635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-2142490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-1593850</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-1593850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-736600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-719455</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-736600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-719455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Ratio is total operating expenses divided by operating revenue, using the underlying unrounded amounts.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per shipment is total operating expenses divided by shipments.</w:t>
      </w:r>
    </w:p>
    <w:p>
      <w:pPr>
        <w:spacing w:after="0" w:line="23" w:lineRule="exact"/>
        <w:rPr>
          <w:rFonts w:ascii="Times New Roman" w:cs="Times New Roman" w:eastAsia="Times New Roman" w:hAnsi="Times New Roman"/>
          <w:sz w:val="18"/>
          <w:szCs w:val="18"/>
          <w:color w:val="auto"/>
        </w:rPr>
      </w:pPr>
    </w:p>
    <w:p>
      <w:pPr>
        <w:ind w:left="5580" w:hanging="172"/>
        <w:spacing w:after="0" w:line="230" w:lineRule="auto"/>
        <w:tabs>
          <w:tab w:leader="none" w:pos="558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CONTACT: Saia, Inc.</w:t>
      </w:r>
    </w:p>
    <w:p>
      <w:pPr>
        <w:ind w:left="1140"/>
        <w:spacing w:after="0" w:line="230" w:lineRule="auto"/>
        <w:rPr>
          <w:sz w:val="20"/>
          <w:szCs w:val="20"/>
          <w:color w:val="auto"/>
        </w:rPr>
      </w:pPr>
      <w:r>
        <w:rPr>
          <w:rFonts w:ascii="Times New Roman" w:cs="Times New Roman" w:eastAsia="Times New Roman" w:hAnsi="Times New Roman"/>
          <w:sz w:val="22"/>
          <w:szCs w:val="22"/>
          <w:color w:val="auto"/>
        </w:rPr>
        <w:t>Matthew Batteh</w:t>
      </w:r>
    </w:p>
    <w:p>
      <w:pPr>
        <w:ind w:left="1140"/>
        <w:spacing w:after="0" w:line="231" w:lineRule="auto"/>
        <w:rPr>
          <w:sz w:val="20"/>
          <w:szCs w:val="20"/>
          <w:color w:val="auto"/>
        </w:rPr>
      </w:pPr>
      <w:r>
        <w:rPr>
          <w:rFonts w:ascii="Times New Roman" w:cs="Times New Roman" w:eastAsia="Times New Roman" w:hAnsi="Times New Roman"/>
          <w:sz w:val="22"/>
          <w:szCs w:val="22"/>
          <w:color w:val="auto"/>
        </w:rPr>
        <w:t>Executive Vice President and Chief Financial Officer</w:t>
      </w:r>
    </w:p>
    <w:p>
      <w:pPr>
        <w:ind w:left="1140"/>
        <w:spacing w:after="0"/>
        <w:rPr>
          <w:sz w:val="20"/>
          <w:szCs w:val="20"/>
          <w:color w:val="auto"/>
        </w:rPr>
      </w:pPr>
      <w:r>
        <w:rPr>
          <w:rFonts w:ascii="Times New Roman" w:cs="Times New Roman" w:eastAsia="Times New Roman" w:hAnsi="Times New Roman"/>
          <w:sz w:val="22"/>
          <w:szCs w:val="22"/>
          <w:color w:val="auto"/>
        </w:rPr>
        <w:t>Investors@saia.com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Saia,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September 30, 2025</w:t>
            </w:r>
          </w:p>
        </w:tc>
        <w:tc>
          <w:tcPr>
            <w:tcW w:w="1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0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$35,500</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365,343</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96,151</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496,994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435,769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7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4,181,930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3,790,069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1,368,123</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2,813,807</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2,556,935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138,845</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51,314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shd w:val="clear" w:color="auto" w:fill="CFF0FC"/>
          </w:tcPr>
          <w:p>
            <w:pPr>
              <w:spacing w:after="0"/>
              <w:rPr>
                <w:sz w:val="21"/>
                <w:szCs w:val="21"/>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$3,500,960</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$3,166,857</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7480" w:type="dxa"/>
            <w:vAlign w:val="bottom"/>
            <w:tcBorders>
              <w:top w:val="single" w:sz="8" w:color="CFF0FC"/>
            </w:tcBorders>
            <w:shd w:val="clear" w:color="auto" w:fill="CFF0FC"/>
          </w:tcPr>
          <w:p>
            <w:pPr>
              <w:spacing w:after="0"/>
              <w:rPr>
                <w:sz w:val="5"/>
                <w:szCs w:val="5"/>
                <w:color w:val="auto"/>
              </w:rPr>
            </w:pPr>
          </w:p>
        </w:tc>
        <w:tc>
          <w:tcPr>
            <w:tcW w:w="140" w:type="dxa"/>
            <w:vAlign w:val="bottom"/>
            <w:tcBorders>
              <w:top w:val="single" w:sz="8" w:color="CFF0FC"/>
            </w:tcBorders>
            <w:shd w:val="clear" w:color="auto" w:fill="CFF0FC"/>
          </w:tcPr>
          <w:p>
            <w:pPr>
              <w:spacing w:after="0"/>
              <w:rPr>
                <w:sz w:val="5"/>
                <w:szCs w:val="5"/>
                <w:color w:val="auto"/>
              </w:rPr>
            </w:pPr>
          </w:p>
        </w:tc>
        <w:tc>
          <w:tcPr>
            <w:tcW w:w="174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720" w:type="dxa"/>
            <w:vAlign w:val="bottom"/>
            <w:tcBorders>
              <w:top w:val="single" w:sz="8" w:color="auto"/>
            </w:tcBorders>
            <w:shd w:val="clear" w:color="auto" w:fill="CFF0FC"/>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shd w:val="clear" w:color="auto" w:fill="CFF0FC"/>
          </w:tcPr>
          <w:p>
            <w:pPr>
              <w:spacing w:after="0"/>
              <w:rPr>
                <w:sz w:val="24"/>
                <w:szCs w:val="24"/>
                <w:color w:val="auto"/>
              </w:rPr>
            </w:pPr>
          </w:p>
        </w:tc>
        <w:tc>
          <w:tcPr>
            <w:tcW w:w="17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720" w:type="dxa"/>
            <w:vAlign w:val="bottom"/>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$112,534</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Wages, vacation and employees' benefits</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72,318</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82,852</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1,199</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27,001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295,904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278,360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218,000</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less current portion</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102,175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287,123</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Claims, insurance and other</w:t>
            </w:r>
          </w:p>
        </w:tc>
        <w:tc>
          <w:tcPr>
            <w:tcW w:w="1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71,731</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679,029</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577,226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7480" w:type="dxa"/>
            <w:vAlign w:val="bottom"/>
            <w:shd w:val="clear" w:color="auto" w:fill="CFF0FC"/>
          </w:tcPr>
          <w:p>
            <w:pPr>
              <w:spacing w:after="0"/>
              <w:rPr>
                <w:sz w:val="7"/>
                <w:szCs w:val="7"/>
                <w:color w:val="auto"/>
              </w:rPr>
            </w:pPr>
          </w:p>
        </w:tc>
        <w:tc>
          <w:tcPr>
            <w:tcW w:w="140" w:type="dxa"/>
            <w:vAlign w:val="bottom"/>
            <w:shd w:val="clear" w:color="auto" w:fill="CFF0FC"/>
          </w:tcPr>
          <w:p>
            <w:pPr>
              <w:spacing w:after="0"/>
              <w:rPr>
                <w:sz w:val="7"/>
                <w:szCs w:val="7"/>
                <w:color w:val="auto"/>
              </w:rPr>
            </w:pPr>
          </w:p>
        </w:tc>
        <w:tc>
          <w:tcPr>
            <w:tcW w:w="1740" w:type="dxa"/>
            <w:vAlign w:val="bottom"/>
            <w:shd w:val="clear" w:color="auto" w:fill="CFF0FC"/>
          </w:tcPr>
          <w:p>
            <w:pPr>
              <w:spacing w:after="0"/>
              <w:rPr>
                <w:sz w:val="7"/>
                <w:szCs w:val="7"/>
                <w:color w:val="auto"/>
              </w:rPr>
            </w:pPr>
          </w:p>
        </w:tc>
        <w:tc>
          <w:tcPr>
            <w:tcW w:w="160" w:type="dxa"/>
            <w:vAlign w:val="bottom"/>
            <w:shd w:val="clear" w:color="auto" w:fill="CFF0FC"/>
          </w:tcPr>
          <w:p>
            <w:pPr>
              <w:spacing w:after="0"/>
              <w:rPr>
                <w:sz w:val="7"/>
                <w:szCs w:val="7"/>
                <w:color w:val="auto"/>
              </w:rPr>
            </w:pPr>
          </w:p>
        </w:tc>
        <w:tc>
          <w:tcPr>
            <w:tcW w:w="1720" w:type="dxa"/>
            <w:vAlign w:val="bottom"/>
            <w:shd w:val="clear" w:color="auto" w:fill="CFF0FC"/>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303,268</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compensation trust</w:t>
            </w:r>
          </w:p>
        </w:tc>
        <w:tc>
          <w:tcPr>
            <w:tcW w:w="20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(8,904)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2,231,636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2,526,027</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2,311,271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$3,500,960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$3,166,857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5"/>
        </w:trPr>
        <w:tc>
          <w:tcPr>
            <w:tcW w:w="7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-5631180</wp:posOffset>
            </wp:positionV>
            <wp:extent cx="939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-5022850</wp:posOffset>
            </wp:positionV>
            <wp:extent cx="93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-4457065</wp:posOffset>
            </wp:positionV>
            <wp:extent cx="93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-4439920</wp:posOffset>
            </wp:positionV>
            <wp:extent cx="939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-1456690</wp:posOffset>
            </wp:positionV>
            <wp:extent cx="93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Saia,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Quarters and Nine Months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color w:val="auto"/>
              </w:rPr>
              <w:t>Third Quarter</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color w:val="auto"/>
              </w:rPr>
              <w:t>Nine Months</w:t>
            </w:r>
          </w:p>
        </w:tc>
        <w:tc>
          <w:tcPr>
            <w:tcW w:w="940" w:type="dxa"/>
            <w:vAlign w:val="bottom"/>
            <w:tcBorders>
              <w:bottom w:val="single" w:sz="8" w:color="auto"/>
            </w:tcBorders>
          </w:tcPr>
          <w:p>
            <w:pPr>
              <w:spacing w:after="0"/>
              <w:rPr>
                <w:sz w:val="20"/>
                <w:szCs w:val="20"/>
                <w:color w:val="auto"/>
              </w:rPr>
            </w:pPr>
          </w:p>
        </w:tc>
      </w:tr>
      <w:tr>
        <w:trPr>
          <w:trHeight w:val="209"/>
        </w:trPr>
        <w:tc>
          <w:tcPr>
            <w:tcW w:w="4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21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$839,644</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$842,103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$2,444,334</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$2,420,122</w:t>
            </w:r>
          </w:p>
        </w:tc>
      </w:tr>
      <w:tr>
        <w:trPr>
          <w:trHeight w:val="29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Salaries, wages and employees' benefits</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401,058</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398,134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1,181,289</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1,112,087</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Purchased transportation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59,329</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65,584</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176,877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179,138</w:t>
            </w: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Fuel, operating expenses and supplies</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165,727</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158,733</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494,032</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475,935</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taxes and licenses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20,867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63,318</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59,401</w:t>
            </w: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Claims and insurance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23,614</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19,274</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67,985</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55,565</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64,037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54,656</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185,626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156,041</w:t>
            </w:r>
          </w:p>
        </w:tc>
      </w:tr>
      <w:tr>
        <w:trPr>
          <w:trHeight w:val="216"/>
        </w:trPr>
        <w:tc>
          <w:tcPr>
            <w:tcW w:w="4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operating, net</w:t>
            </w:r>
          </w:p>
        </w:tc>
        <w:tc>
          <w:tcPr>
            <w:tcW w:w="1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(12,970)</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10"/>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721,034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716,932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2,156,157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2,039,446</w:t>
            </w:r>
          </w:p>
        </w:tc>
      </w:tr>
      <w:tr>
        <w:trPr>
          <w:trHeight w:val="74"/>
        </w:trPr>
        <w:tc>
          <w:tcPr>
            <w:tcW w:w="4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r>
      <w:tr>
        <w:trPr>
          <w:trHeight w:val="216"/>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118,610</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125,171</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288,177</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380,676</w:t>
            </w:r>
          </w:p>
        </w:tc>
      </w:tr>
      <w:tr>
        <w:trPr>
          <w:trHeight w:val="297"/>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4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4,483</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13,510</w:t>
            </w:r>
          </w:p>
        </w:tc>
        <w:tc>
          <w:tcPr>
            <w:tcW w:w="1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16"/>
        </w:trPr>
        <w:tc>
          <w:tcPr>
            <w:tcW w:w="4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49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0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Nonoperating expenses, net</w:t>
            </w: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291"/>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114,825</w:t>
            </w:r>
          </w:p>
        </w:tc>
        <w:tc>
          <w:tcPr>
            <w:tcW w:w="16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122,679</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275,954</w:t>
            </w:r>
          </w:p>
        </w:tc>
        <w:tc>
          <w:tcPr>
            <w:tcW w:w="160" w:type="dxa"/>
            <w:vAlign w:val="bottom"/>
            <w:shd w:val="clear" w:color="auto" w:fill="CFF0FC"/>
          </w:tcPr>
          <w:p>
            <w:pPr>
              <w:spacing w:after="0"/>
              <w:rPr>
                <w:sz w:val="24"/>
                <w:szCs w:val="24"/>
                <w:color w:val="auto"/>
              </w:rPr>
            </w:pPr>
          </w:p>
        </w:tc>
        <w:tc>
          <w:tcPr>
            <w:tcW w:w="460" w:type="dxa"/>
            <w:vAlign w:val="bottom"/>
            <w:shd w:val="clear" w:color="auto" w:fill="CFF0FC"/>
          </w:tcPr>
          <w:p>
            <w:pPr>
              <w:spacing w:after="0"/>
              <w:rPr>
                <w:sz w:val="24"/>
                <w:szCs w:val="2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377,209</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8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28,509</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29,931</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68,437</w:t>
            </w:r>
          </w:p>
        </w:tc>
        <w:tc>
          <w:tcPr>
            <w:tcW w:w="1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91,247</w:t>
            </w:r>
          </w:p>
        </w:tc>
      </w:tr>
      <w:tr>
        <w:trPr>
          <w:trHeight w:val="25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$86,316</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$92,748</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$207,517</w:t>
            </w: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$285,962</w:t>
            </w:r>
          </w:p>
        </w:tc>
      </w:tr>
      <w:tr>
        <w:trPr>
          <w:trHeight w:val="62"/>
        </w:trPr>
        <w:tc>
          <w:tcPr>
            <w:tcW w:w="498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140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460" w:type="dxa"/>
            <w:vAlign w:val="bottom"/>
            <w:tcBorders>
              <w:top w:val="single" w:sz="8" w:color="auto"/>
            </w:tcBorders>
            <w:shd w:val="clear" w:color="auto" w:fill="CFF0FC"/>
          </w:tcPr>
          <w:p>
            <w:pPr>
              <w:spacing w:after="0"/>
              <w:rPr>
                <w:sz w:val="5"/>
                <w:szCs w:val="5"/>
                <w:color w:val="auto"/>
              </w:rPr>
            </w:pPr>
          </w:p>
        </w:tc>
        <w:tc>
          <w:tcPr>
            <w:tcW w:w="94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40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460" w:type="dxa"/>
            <w:vAlign w:val="bottom"/>
            <w:tcBorders>
              <w:top w:val="single" w:sz="8" w:color="auto"/>
            </w:tcBorders>
            <w:shd w:val="clear" w:color="auto" w:fill="CFF0FC"/>
          </w:tcPr>
          <w:p>
            <w:pPr>
              <w:spacing w:after="0"/>
              <w:rPr>
                <w:sz w:val="5"/>
                <w:szCs w:val="5"/>
                <w:color w:val="auto"/>
              </w:rPr>
            </w:pPr>
          </w:p>
        </w:tc>
        <w:tc>
          <w:tcPr>
            <w:tcW w:w="940" w:type="dxa"/>
            <w:vAlign w:val="bottom"/>
            <w:tcBorders>
              <w:top w:val="single" w:sz="8" w:color="auto"/>
            </w:tcBorders>
            <w:shd w:val="clear" w:color="auto" w:fill="CFF0FC"/>
          </w:tcPr>
          <w:p>
            <w:pPr>
              <w:spacing w:after="0"/>
              <w:rPr>
                <w:sz w:val="5"/>
                <w:szCs w:val="5"/>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26,745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26,735</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26,686</w:t>
            </w: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5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26,790</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26,789</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26,784</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26,785</w:t>
            </w:r>
          </w:p>
        </w:tc>
      </w:tr>
      <w:tr>
        <w:trPr>
          <w:trHeight w:val="61"/>
        </w:trPr>
        <w:tc>
          <w:tcPr>
            <w:tcW w:w="4980" w:type="dxa"/>
            <w:vAlign w:val="bottom"/>
            <w:tcBorders>
              <w:top w:val="single" w:sz="8" w:color="CFF0FC"/>
            </w:tcBorders>
            <w:shd w:val="clear" w:color="auto" w:fill="CFF0FC"/>
          </w:tcPr>
          <w:p>
            <w:pPr>
              <w:spacing w:after="0"/>
              <w:rPr>
                <w:sz w:val="5"/>
                <w:szCs w:val="5"/>
                <w:color w:val="auto"/>
              </w:rPr>
            </w:pPr>
          </w:p>
        </w:tc>
        <w:tc>
          <w:tcPr>
            <w:tcW w:w="180" w:type="dxa"/>
            <w:vAlign w:val="bottom"/>
            <w:tcBorders>
              <w:top w:val="single" w:sz="8" w:color="CFF0FC"/>
            </w:tcBorders>
            <w:shd w:val="clear" w:color="auto" w:fill="CFF0FC"/>
          </w:tcPr>
          <w:p>
            <w:pPr>
              <w:spacing w:after="0"/>
              <w:rPr>
                <w:sz w:val="5"/>
                <w:szCs w:val="5"/>
                <w:color w:val="auto"/>
              </w:rPr>
            </w:pPr>
          </w:p>
        </w:tc>
        <w:tc>
          <w:tcPr>
            <w:tcW w:w="140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460" w:type="dxa"/>
            <w:vAlign w:val="bottom"/>
            <w:tcBorders>
              <w:top w:val="single" w:sz="8" w:color="auto"/>
            </w:tcBorders>
            <w:shd w:val="clear" w:color="auto" w:fill="CFF0FC"/>
          </w:tcPr>
          <w:p>
            <w:pPr>
              <w:spacing w:after="0"/>
              <w:rPr>
                <w:sz w:val="5"/>
                <w:szCs w:val="5"/>
                <w:color w:val="auto"/>
              </w:rPr>
            </w:pPr>
          </w:p>
        </w:tc>
        <w:tc>
          <w:tcPr>
            <w:tcW w:w="94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1400" w:type="dxa"/>
            <w:vAlign w:val="bottom"/>
            <w:tcBorders>
              <w:top w:val="single" w:sz="8" w:color="auto"/>
            </w:tcBorders>
            <w:shd w:val="clear" w:color="auto" w:fill="CFF0FC"/>
          </w:tcPr>
          <w:p>
            <w:pPr>
              <w:spacing w:after="0"/>
              <w:rPr>
                <w:sz w:val="5"/>
                <w:szCs w:val="5"/>
                <w:color w:val="auto"/>
              </w:rPr>
            </w:pPr>
          </w:p>
        </w:tc>
        <w:tc>
          <w:tcPr>
            <w:tcW w:w="160" w:type="dxa"/>
            <w:vAlign w:val="bottom"/>
            <w:tcBorders>
              <w:top w:val="single" w:sz="8" w:color="CFF0FC"/>
            </w:tcBorders>
            <w:shd w:val="clear" w:color="auto" w:fill="CFF0FC"/>
          </w:tcPr>
          <w:p>
            <w:pPr>
              <w:spacing w:after="0"/>
              <w:rPr>
                <w:sz w:val="5"/>
                <w:szCs w:val="5"/>
                <w:color w:val="auto"/>
              </w:rPr>
            </w:pPr>
          </w:p>
        </w:tc>
        <w:tc>
          <w:tcPr>
            <w:tcW w:w="460" w:type="dxa"/>
            <w:vAlign w:val="bottom"/>
            <w:tcBorders>
              <w:top w:val="single" w:sz="8" w:color="auto"/>
            </w:tcBorders>
            <w:shd w:val="clear" w:color="auto" w:fill="CFF0FC"/>
          </w:tcPr>
          <w:p>
            <w:pPr>
              <w:spacing w:after="0"/>
              <w:rPr>
                <w:sz w:val="5"/>
                <w:szCs w:val="5"/>
                <w:color w:val="auto"/>
              </w:rPr>
            </w:pPr>
          </w:p>
        </w:tc>
        <w:tc>
          <w:tcPr>
            <w:tcW w:w="940" w:type="dxa"/>
            <w:vAlign w:val="bottom"/>
            <w:tcBorders>
              <w:top w:val="single" w:sz="8" w:color="auto"/>
            </w:tcBorders>
            <w:shd w:val="clear" w:color="auto" w:fill="CFF0FC"/>
          </w:tcPr>
          <w:p>
            <w:pPr>
              <w:spacing w:after="0"/>
              <w:rPr>
                <w:sz w:val="5"/>
                <w:szCs w:val="5"/>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9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5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15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$7.75</w:t>
            </w:r>
          </w:p>
        </w:tc>
        <w:tc>
          <w:tcPr>
            <w:tcW w:w="1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$10.68</w:t>
            </w:r>
          </w:p>
        </w:tc>
      </w:tr>
      <w:tr>
        <w:trPr>
          <w:trHeight w:val="2526"/>
        </w:trPr>
        <w:tc>
          <w:tcPr>
            <w:tcW w:w="4980" w:type="dxa"/>
            <w:vAlign w:val="bottom"/>
            <w:tcBorders>
              <w:top w:val="single" w:sz="8" w:color="CFF0FC"/>
              <w:bottom w:val="single" w:sz="8" w:color="9A9A9A"/>
            </w:tcBorders>
          </w:tcPr>
          <w:p>
            <w:pPr>
              <w:spacing w:after="0"/>
              <w:rPr>
                <w:sz w:val="24"/>
                <w:szCs w:val="24"/>
                <w:color w:val="auto"/>
              </w:rPr>
            </w:pPr>
          </w:p>
        </w:tc>
        <w:tc>
          <w:tcPr>
            <w:tcW w:w="180" w:type="dxa"/>
            <w:vAlign w:val="bottom"/>
            <w:tcBorders>
              <w:top w:val="single" w:sz="8" w:color="CFF0FC"/>
              <w:bottom w:val="single" w:sz="8" w:color="9A9A9A"/>
            </w:tcBorders>
          </w:tcPr>
          <w:p>
            <w:pPr>
              <w:spacing w:after="0"/>
              <w:rPr>
                <w:sz w:val="24"/>
                <w:szCs w:val="24"/>
                <w:color w:val="auto"/>
              </w:rPr>
            </w:pPr>
          </w:p>
        </w:tc>
        <w:tc>
          <w:tcPr>
            <w:tcW w:w="140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1400" w:type="dxa"/>
            <w:vAlign w:val="bottom"/>
            <w:tcBorders>
              <w:top w:val="single" w:sz="8" w:color="auto"/>
              <w:bottom w:val="single" w:sz="8" w:color="9A9A9A"/>
            </w:tcBorders>
          </w:tcPr>
          <w:p>
            <w:pPr>
              <w:spacing w:after="0"/>
              <w:rPr>
                <w:sz w:val="24"/>
                <w:szCs w:val="24"/>
                <w:color w:val="auto"/>
              </w:rPr>
            </w:pPr>
          </w:p>
        </w:tc>
        <w:tc>
          <w:tcPr>
            <w:tcW w:w="160" w:type="dxa"/>
            <w:vAlign w:val="bottom"/>
            <w:tcBorders>
              <w:top w:val="single" w:sz="8" w:color="CFF0FC"/>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94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-3977005</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-3977005</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-3977005</wp:posOffset>
            </wp:positionV>
            <wp:extent cx="1028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-3034030</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-3034030</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-3034030</wp:posOffset>
            </wp:positionV>
            <wp:extent cx="102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-2407920</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-2390775</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-2407920</wp:posOffset>
            </wp:positionV>
            <wp:extent cx="102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-2390775</wp:posOffset>
            </wp:positionV>
            <wp:extent cx="102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-2407920</wp:posOffset>
            </wp:positionV>
            <wp:extent cx="102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-2390775</wp:posOffset>
            </wp:positionV>
            <wp:extent cx="102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-2030730</wp:posOffset>
            </wp:positionV>
            <wp:extent cx="1028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-2014220</wp:posOffset>
            </wp:positionV>
            <wp:extent cx="102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-2030730</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-2014220</wp:posOffset>
            </wp:positionV>
            <wp:extent cx="1028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-2030730</wp:posOffset>
            </wp:positionV>
            <wp:extent cx="1028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-2014220</wp:posOffset>
            </wp:positionV>
            <wp:extent cx="102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-1653540</wp:posOffset>
            </wp:positionV>
            <wp:extent cx="1028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-1636395</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-1653540</wp:posOffset>
            </wp:positionV>
            <wp:extent cx="1028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-1636395</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-1653540</wp:posOffset>
            </wp:positionV>
            <wp:extent cx="1028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-1636395</wp:posOffset>
            </wp:positionV>
            <wp:extent cx="1028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rPr>
              <w:t>Saia, Inc. and Subsidiaries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2025 and 2024</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9"/>
              </w:rPr>
              <w:t>(Amounts in thousands)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320" w:type="dxa"/>
            <w:vAlign w:val="bottom"/>
          </w:tcPr>
          <w:p>
            <w:pPr>
              <w:jc w:val="center"/>
              <w:ind w:left="28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1840" w:type="dxa"/>
            <w:vAlign w:val="bottom"/>
            <w:gridSpan w:val="3"/>
            <w:vMerge w:val="restart"/>
          </w:tcPr>
          <w:p>
            <w:pPr>
              <w:ind w:left="840"/>
              <w:spacing w:after="0"/>
              <w:rPr>
                <w:sz w:val="20"/>
                <w:szCs w:val="20"/>
                <w:color w:val="auto"/>
              </w:rPr>
            </w:pPr>
            <w:r>
              <w:rPr>
                <w:rFonts w:ascii="Times New Roman" w:cs="Times New Roman" w:eastAsia="Times New Roman" w:hAnsi="Times New Roman"/>
                <w:sz w:val="18"/>
                <w:szCs w:val="18"/>
                <w:color w:val="auto"/>
              </w:rPr>
              <w:t>Nine Months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Borders>
              <w:bottom w:val="single" w:sz="8" w:color="auto"/>
            </w:tcBorders>
            <w:gridSpan w:val="3"/>
            <w:vMerge w:val="continue"/>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$457,665</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$418,963</w:t>
            </w:r>
          </w:p>
        </w:tc>
        <w:tc>
          <w:tcPr>
            <w:tcW w:w="0" w:type="dxa"/>
            <w:vAlign w:val="bottom"/>
          </w:tcPr>
          <w:p>
            <w:pPr>
              <w:spacing w:after="0"/>
              <w:rPr>
                <w:sz w:val="1"/>
                <w:szCs w:val="1"/>
                <w:color w:val="auto"/>
              </w:rPr>
            </w:pPr>
          </w:p>
        </w:tc>
      </w:tr>
      <w:tr>
        <w:trPr>
          <w:trHeight w:val="210"/>
        </w:trPr>
        <w:tc>
          <w:tcPr>
            <w:tcW w:w="83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457,665</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418,963</w:t>
            </w:r>
          </w:p>
        </w:tc>
        <w:tc>
          <w:tcPr>
            <w:tcW w:w="0" w:type="dxa"/>
            <w:vAlign w:val="bottom"/>
          </w:tcPr>
          <w:p>
            <w:pPr>
              <w:spacing w:after="0"/>
              <w:rPr>
                <w:sz w:val="1"/>
                <w:szCs w:val="1"/>
                <w:color w:val="auto"/>
              </w:rPr>
            </w:pPr>
          </w:p>
        </w:tc>
      </w:tr>
      <w:tr>
        <w:trPr>
          <w:trHeight w:val="209"/>
        </w:trPr>
        <w:tc>
          <w:tcPr>
            <w:tcW w:w="8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8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(467,814)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(875,302)</w:t>
            </w: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21,736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0" w:type="dxa"/>
            <w:vAlign w:val="bottom"/>
          </w:tcPr>
          <w:p>
            <w:pPr>
              <w:spacing w:after="0"/>
              <w:rPr>
                <w:sz w:val="1"/>
                <w:szCs w:val="1"/>
                <w:color w:val="auto"/>
              </w:rPr>
            </w:pPr>
          </w:p>
        </w:tc>
      </w:tr>
      <w:tr>
        <w:trPr>
          <w:trHeight w:val="209"/>
        </w:trPr>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(454,472)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(868,224)</w:t>
            </w:r>
          </w:p>
        </w:tc>
        <w:tc>
          <w:tcPr>
            <w:tcW w:w="0" w:type="dxa"/>
            <w:vAlign w:val="bottom"/>
          </w:tcPr>
          <w:p>
            <w:pPr>
              <w:spacing w:after="0"/>
              <w:rPr>
                <w:sz w:val="1"/>
                <w:szCs w:val="1"/>
                <w:color w:val="auto"/>
              </w:rPr>
            </w:pPr>
          </w:p>
        </w:tc>
      </w:tr>
      <w:tr>
        <w:trPr>
          <w:trHeight w:val="20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8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Borrowing of revolving credit facility, net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Borrowing of private shelf agreement</w:t>
            </w:r>
          </w:p>
        </w:tc>
        <w:tc>
          <w:tcPr>
            <w:tcW w:w="280" w:type="dxa"/>
            <w:vAlign w:val="bottom"/>
          </w:tcPr>
          <w:p>
            <w:pPr>
              <w:spacing w:after="0"/>
              <w:rPr>
                <w:sz w:val="18"/>
                <w:szCs w:val="18"/>
                <w:color w:val="auto"/>
              </w:rPr>
            </w:pPr>
          </w:p>
        </w:tc>
        <w:tc>
          <w:tcPr>
            <w:tcW w:w="18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w:t>
            </w:r>
          </w:p>
        </w:tc>
        <w:tc>
          <w:tcPr>
            <w:tcW w:w="0" w:type="dxa"/>
            <w:vAlign w:val="bottom"/>
          </w:tcPr>
          <w:p>
            <w:pPr>
              <w:spacing w:after="0"/>
              <w:rPr>
                <w:sz w:val="1"/>
                <w:szCs w:val="1"/>
                <w:color w:val="auto"/>
              </w:rPr>
            </w:pPr>
          </w:p>
        </w:tc>
      </w:tr>
      <w:tr>
        <w:trPr>
          <w:trHeight w:val="216"/>
        </w:trPr>
        <w:tc>
          <w:tcPr>
            <w:tcW w:w="8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financing activity</w:t>
            </w:r>
          </w:p>
        </w:tc>
        <w:tc>
          <w:tcPr>
            <w:tcW w:w="28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0" w:type="dxa"/>
            <w:vAlign w:val="bottom"/>
          </w:tcPr>
          <w:p>
            <w:pPr>
              <w:spacing w:after="0"/>
              <w:rPr>
                <w:sz w:val="1"/>
                <w:szCs w:val="1"/>
                <w:color w:val="auto"/>
              </w:rPr>
            </w:pPr>
          </w:p>
        </w:tc>
      </w:tr>
      <w:tr>
        <w:trPr>
          <w:trHeight w:val="210"/>
        </w:trPr>
        <w:tc>
          <w:tcPr>
            <w:tcW w:w="8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167,451</w:t>
            </w:r>
          </w:p>
        </w:tc>
        <w:tc>
          <w:tcPr>
            <w:tcW w:w="0" w:type="dxa"/>
            <w:vAlign w:val="bottom"/>
          </w:tcPr>
          <w:p>
            <w:pPr>
              <w:spacing w:after="0"/>
              <w:rPr>
                <w:sz w:val="1"/>
                <w:szCs w:val="1"/>
                <w:color w:val="auto"/>
              </w:rPr>
            </w:pPr>
          </w:p>
        </w:tc>
      </w:tr>
      <w:tr>
        <w:trPr>
          <w:trHeight w:val="209"/>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16,027</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(281,810)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296,215</w:t>
            </w:r>
          </w:p>
        </w:tc>
        <w:tc>
          <w:tcPr>
            <w:tcW w:w="0" w:type="dxa"/>
            <w:vAlign w:val="bottom"/>
          </w:tcPr>
          <w:p>
            <w:pPr>
              <w:spacing w:after="0"/>
              <w:rPr>
                <w:sz w:val="1"/>
                <w:szCs w:val="1"/>
                <w:color w:val="auto"/>
              </w:rPr>
            </w:pPr>
          </w:p>
        </w:tc>
      </w:tr>
      <w:tr>
        <w:trPr>
          <w:trHeight w:val="250"/>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0" w:type="dxa"/>
            <w:vAlign w:val="bottom"/>
          </w:tcPr>
          <w:p>
            <w:pPr>
              <w:spacing w:after="0"/>
              <w:rPr>
                <w:sz w:val="1"/>
                <w:szCs w:val="1"/>
                <w:color w:val="auto"/>
              </w:rPr>
            </w:pPr>
          </w:p>
        </w:tc>
      </w:tr>
      <w:tr>
        <w:trPr>
          <w:trHeight w:val="2309"/>
        </w:trPr>
        <w:tc>
          <w:tcPr>
            <w:tcW w:w="832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128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800" w:type="dxa"/>
            <w:vAlign w:val="bottom"/>
            <w:tcBorders>
              <w:top w:val="single" w:sz="8" w:color="auto"/>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-3625215</wp:posOffset>
            </wp:positionV>
            <wp:extent cx="1714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-3068320</wp:posOffset>
            </wp:positionV>
            <wp:extent cx="1714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-2091055</wp:posOffset>
            </wp:positionV>
            <wp:extent cx="1714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-1516380</wp:posOffset>
            </wp:positionV>
            <wp:extent cx="1714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-1499235</wp:posOffset>
            </wp:positionV>
            <wp:extent cx="1714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Saia,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Quarters Ended September 30,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spacing w:after="0"/>
              <w:rPr>
                <w:sz w:val="20"/>
                <w:szCs w:val="20"/>
                <w:color w:val="auto"/>
              </w:rPr>
            </w:pPr>
          </w:p>
        </w:tc>
        <w:tc>
          <w:tcPr>
            <w:tcW w:w="2120" w:type="dxa"/>
            <w:vAlign w:val="bottom"/>
            <w:gridSpan w:val="3"/>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Third Quarter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Third Quarter</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20" w:type="dxa"/>
            <w:vAlign w:val="bottom"/>
          </w:tcPr>
          <w:p>
            <w:pPr>
              <w:spacing w:after="0"/>
              <w:rPr>
                <w:sz w:val="18"/>
                <w:szCs w:val="18"/>
                <w:color w:val="auto"/>
              </w:rPr>
            </w:pPr>
          </w:p>
        </w:tc>
        <w:tc>
          <w:tcPr>
            <w:tcW w:w="2120" w:type="dxa"/>
            <w:vAlign w:val="bottom"/>
            <w:tcBorders>
              <w:bottom w:val="single" w:sz="8" w:color="auto"/>
            </w:tcBorders>
            <w:gridSpan w:val="3"/>
            <w:vMerge w:val="continue"/>
          </w:tcPr>
          <w:p>
            <w:pPr>
              <w:spacing w:after="0"/>
              <w:rPr>
                <w:sz w:val="18"/>
                <w:szCs w:val="18"/>
                <w:color w:val="auto"/>
              </w:rPr>
            </w:pPr>
          </w:p>
        </w:tc>
        <w:tc>
          <w:tcPr>
            <w:tcW w:w="10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9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Amount/Workday</w:t>
            </w:r>
          </w:p>
        </w:tc>
        <w:tc>
          <w:tcPr>
            <w:tcW w:w="10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20" w:type="dxa"/>
            <w:vAlign w:val="bottom"/>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Workdays</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tonnage (1)</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LTL shipments (1)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revenue/cwt.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LTL revenue/cwt., excluding fuel surcharge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revenue/shipment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LTL revenue/shipment, excluding fuel surcharge</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LTL pounds/shipment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LTL length of haul (2)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80" w:hanging="446"/>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thousands.</w:t>
      </w:r>
    </w:p>
    <w:p>
      <w:pPr>
        <w:spacing w:after="0" w:line="90" w:lineRule="exact"/>
        <w:rPr>
          <w:rFonts w:ascii="Times New Roman" w:cs="Times New Roman" w:eastAsia="Times New Roman" w:hAnsi="Times New Roman"/>
          <w:sz w:val="18"/>
          <w:szCs w:val="18"/>
          <w:color w:val="auto"/>
        </w:rPr>
      </w:pPr>
    </w:p>
    <w:p>
      <w:pPr>
        <w:ind w:left="680" w:hanging="446"/>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miles.</w:t>
      </w:r>
    </w:p>
    <w:p>
      <w:pPr>
        <w:spacing w:after="0" w:line="90" w:lineRule="exact"/>
        <w:rPr>
          <w:sz w:val="20"/>
          <w:szCs w:val="20"/>
          <w:color w:val="auto"/>
        </w:rPr>
      </w:pPr>
    </w:p>
    <w:p>
      <w:pPr>
        <w:ind w:left="680" w:right="300" w:hanging="539"/>
        <w:spacing w:after="0" w:line="282" w:lineRule="auto"/>
        <w:tabs>
          <w:tab w:leader="none" w:pos="660" w:val="left"/>
        </w:tabs>
        <w:rPr>
          <w:sz w:val="20"/>
          <w:szCs w:val="20"/>
          <w:color w:val="auto"/>
        </w:rPr>
      </w:pPr>
      <w:r>
        <w:rPr>
          <w:rFonts w:ascii="Times New Roman" w:cs="Times New Roman" w:eastAsia="Times New Roman" w:hAnsi="Times New Roman"/>
          <w:sz w:val="18"/>
          <w:szCs w:val="18"/>
          <w:color w:val="auto"/>
        </w:rPr>
        <w:t>Note:</w:t>
        <w:tab/>
        <w:t>LTL operating statistics exclude transportation and logistics services where pricing is generally not determined by weight. The LTL operating statistics also exclude the adjustment required for financial statement purposes in accordance with the Company's revenue recognition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0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21"/>
    </w:lvl>
  </w:abstractNum>
  <w:abstractNum w:abstractNumId="4">
    <w:nsid w:val="79E2A9E3"/>
    <w:multiLevelType w:val="hybridMultilevel"/>
    <w:lvl w:ilvl="0">
      <w:lvlJc w:val="left"/>
      <w:lvlText w:val="(%1)"/>
      <w:numFmt w:val="decimal"/>
      <w:start w:val="30"/>
    </w:lvl>
  </w:abstractNum>
  <w:abstractNum w:abstractNumId="5">
    <w:nsid w:val="7545E146"/>
    <w:multiLevelType w:val="hybridMultilevel"/>
    <w:lvl w:ilvl="0">
      <w:lvlJc w:val="left"/>
      <w:lvlText w:val="(%1)"/>
      <w:numFmt w:val="decimal"/>
      <w:start w:val="36"/>
    </w:lvl>
  </w:abstractNum>
  <w:abstractNum w:abstractNumId="6">
    <w:nsid w:val="515F007C"/>
    <w:multiLevelType w:val="hybridMultilevel"/>
    <w:lvl w:ilvl="0">
      <w:lvlJc w:val="left"/>
      <w:lvlText w:val="(%1)"/>
      <w:numFmt w:val="decimal"/>
      <w:start w:val="43"/>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1)"/>
      <w:numFmt w:val="decimal"/>
      <w:start w:val="1"/>
    </w:lvl>
    <w:lvl w:ilvl="1">
      <w:lvlJc w:val="left"/>
      <w:lvlText w:val="#"/>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2025-10-30T06:50:20Z</dcterms:created>
  <dcterms:modified xsi:type="dcterms:W3CDTF">2025-10-30T06:50:20Z</dcterms:modified>
</cp:coreProperties>
</file>